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B0EC" w14:textId="4F6692CE" w:rsidR="007D192F" w:rsidRPr="00D44BA1" w:rsidRDefault="00C078E1" w:rsidP="007D192F">
      <w:pPr>
        <w:pStyle w:val="BodyTextBold"/>
        <w:jc w:val="center"/>
        <w:rPr>
          <w:lang w:val="fr-CA"/>
        </w:rPr>
      </w:pPr>
      <w:r w:rsidRPr="00D44BA1">
        <w:rPr>
          <w:lang w:val="fr-CA"/>
        </w:rPr>
        <w:t>MODÈLES DE DOCUMENTS TRANSACTIONNELS DE L’ACCRI</w:t>
      </w:r>
    </w:p>
    <w:p w14:paraId="6FD92D31" w14:textId="77777777" w:rsidR="007D192F" w:rsidRPr="00D44BA1" w:rsidRDefault="007D192F" w:rsidP="007D192F">
      <w:pPr>
        <w:pStyle w:val="CoverPageDocumentTitle"/>
        <w:spacing w:before="480"/>
        <w:rPr>
          <w:lang w:val="fr-CA"/>
        </w:rPr>
      </w:pPr>
    </w:p>
    <w:p w14:paraId="79A79A5F" w14:textId="35B35F82" w:rsidR="007D192F" w:rsidRPr="00D44BA1" w:rsidRDefault="00DC7F4C" w:rsidP="007D192F">
      <w:pPr>
        <w:pStyle w:val="CoverPageDocumentTitle"/>
        <w:spacing w:after="1200"/>
        <w:rPr>
          <w:lang w:val="fr-CA"/>
        </w:rPr>
      </w:pPr>
      <w:r w:rsidRPr="00D44BA1">
        <w:rPr>
          <w:lang w:val="fr-CA"/>
        </w:rPr>
        <w:t>CONVENTION RELATIVE AUX DROITS DES INVESTISSEURS</w:t>
      </w:r>
      <w:r w:rsidRPr="00D44BA1">
        <w:rPr>
          <w:lang w:val="fr-CA"/>
        </w:rPr>
        <w:br/>
      </w:r>
      <w:r w:rsidR="000B08F2" w:rsidRPr="00D44BA1">
        <w:rPr>
          <w:lang w:val="fr-CA"/>
        </w:rPr>
        <w:t>[</w:t>
      </w:r>
      <w:r w:rsidRPr="00D44BA1">
        <w:rPr>
          <w:lang w:val="fr-CA"/>
        </w:rPr>
        <w:t>MODIFIÉE ET MISE À JOUR</w:t>
      </w:r>
      <w:r w:rsidR="000B08F2" w:rsidRPr="00D44BA1">
        <w:rPr>
          <w:lang w:val="fr-CA"/>
        </w:rPr>
        <w:t>]</w:t>
      </w:r>
    </w:p>
    <w:p w14:paraId="405182AD" w14:textId="70862D50" w:rsidR="00F335FA" w:rsidRPr="00D44BA1" w:rsidRDefault="00F335FA" w:rsidP="00F335FA">
      <w:pPr>
        <w:pStyle w:val="BodyText"/>
        <w:rPr>
          <w:lang w:val="fr-CA"/>
        </w:rPr>
      </w:pPr>
      <w:r w:rsidRPr="00D44BA1">
        <w:rPr>
          <w:lang w:val="fr-CA"/>
        </w:rPr>
        <w:t>La présente convention est une traduction d’un document fondé sur la convention de la NVCA intitulée « Investors’ Rights Agreement » (version de septembre 2020). L’ACCRI remercie la NVCA de l’avoir autorisée à utiliser son document pour le Canada.</w:t>
      </w:r>
    </w:p>
    <w:p w14:paraId="120F0243" w14:textId="77777777" w:rsidR="00F335FA" w:rsidRPr="00D44BA1" w:rsidRDefault="00F335FA" w:rsidP="00F335FA">
      <w:pPr>
        <w:pStyle w:val="BodyText"/>
        <w:rPr>
          <w:lang w:val="fr-CA"/>
        </w:rPr>
      </w:pPr>
      <w:r w:rsidRPr="00D44BA1">
        <w:rPr>
          <w:lang w:val="fr-CA"/>
        </w:rPr>
        <w:t>On trouvera de plus sur le site Web de l’ACCRI une version soulignée de la version anglaise du présent document par rapport à celui de la NVCA, ainsi qu’un guide de conversion décrivant les changements rédactionnels d’ordre général qui y ont été apportés.</w:t>
      </w:r>
    </w:p>
    <w:p w14:paraId="0F3B7DCD" w14:textId="3E62FA9F" w:rsidR="00CC0317" w:rsidRPr="00595BE0" w:rsidRDefault="00F335FA" w:rsidP="00CC0317">
      <w:pPr>
        <w:pStyle w:val="BodyText"/>
        <w:rPr>
          <w:highlight w:val="magenta"/>
          <w:lang w:val="fr-CA"/>
        </w:rPr>
      </w:pPr>
      <w:r w:rsidRPr="00D44BA1">
        <w:rPr>
          <w:lang w:val="fr-CA"/>
        </w:rPr>
        <w:t xml:space="preserve">La version canadienne du présent document a été créée </w:t>
      </w:r>
      <w:r w:rsidR="00CC0317">
        <w:rPr>
          <w:lang w:val="fr-CA"/>
        </w:rPr>
        <w:t xml:space="preserve">en anglais </w:t>
      </w:r>
      <w:r w:rsidRPr="00D44BA1">
        <w:rPr>
          <w:lang w:val="fr-CA"/>
        </w:rPr>
        <w:t xml:space="preserve">par le groupe de travail sur les modèles de documents transactionnels de l’ACCRI dont les membres sont Gary Solway de Bennett Jones S.E.N.C.R.L./s.r.l. (président), Sophia Maizel de HarbourVest (vice-présidente), Mireille Fontaine de </w:t>
      </w:r>
      <w:r w:rsidR="00D106C7">
        <w:rPr>
          <w:lang w:val="fr-CA"/>
        </w:rPr>
        <w:t>Lapointe Rosenstein Marchand Melan</w:t>
      </w:r>
      <w:r w:rsidR="00D106C7" w:rsidRPr="00022BA2">
        <w:rPr>
          <w:lang w:val="fr-CA"/>
        </w:rPr>
        <w:t>ç</w:t>
      </w:r>
      <w:r w:rsidR="00D106C7">
        <w:rPr>
          <w:lang w:val="fr-CA"/>
        </w:rPr>
        <w:t>on, S.E.N.C.R.L.</w:t>
      </w:r>
      <w:r w:rsidRPr="00D44BA1">
        <w:rPr>
          <w:lang w:val="fr-CA"/>
        </w:rPr>
        <w:t>, Ed Vandenberg d’Osler, Hoskin &amp; Harcourt S.E.N.C.R.L./s.r.l., Pascal de Guise de Blake, Cassels &amp; Graydon S.E.N.C.R.L./s.r.l., Brian Lenihan de Choate Hall &amp; Stewart LLP, Jesslyn Maurier de Bennett Jones S.E.N.C.R.L./s.r.l., ainsi que Julie Robinson de McInnes Cooper. L</w:t>
      </w:r>
      <w:r w:rsidR="00462918" w:rsidRPr="00D44BA1">
        <w:rPr>
          <w:lang w:val="fr-CA"/>
        </w:rPr>
        <w:t>e</w:t>
      </w:r>
      <w:r w:rsidRPr="00D44BA1">
        <w:rPr>
          <w:lang w:val="fr-CA"/>
        </w:rPr>
        <w:t xml:space="preserve"> principal rédact</w:t>
      </w:r>
      <w:r w:rsidR="00462918" w:rsidRPr="00D44BA1">
        <w:rPr>
          <w:lang w:val="fr-CA"/>
        </w:rPr>
        <w:t xml:space="preserve">eur </w:t>
      </w:r>
      <w:r w:rsidRPr="00D44BA1">
        <w:rPr>
          <w:lang w:val="fr-CA"/>
        </w:rPr>
        <w:t xml:space="preserve">de ce document est </w:t>
      </w:r>
      <w:r w:rsidR="000B08F2" w:rsidRPr="00D44BA1">
        <w:rPr>
          <w:lang w:val="fr-CA"/>
        </w:rPr>
        <w:t>Ed Vandenberg (</w:t>
      </w:r>
      <w:hyperlink r:id="rId9" w:history="1">
        <w:r w:rsidR="000B08F2" w:rsidRPr="00D44BA1">
          <w:rPr>
            <w:rStyle w:val="Hyperlink"/>
            <w:lang w:val="fr-CA"/>
          </w:rPr>
          <w:t>evandenberg@osler.com</w:t>
        </w:r>
      </w:hyperlink>
      <w:r w:rsidR="000B08F2" w:rsidRPr="00D44BA1">
        <w:rPr>
          <w:lang w:val="fr-CA"/>
        </w:rPr>
        <w:t>).</w:t>
      </w:r>
      <w:r w:rsidR="00CC0317">
        <w:rPr>
          <w:lang w:val="fr-CA"/>
        </w:rPr>
        <w:t xml:space="preserve"> </w:t>
      </w:r>
      <w:r w:rsidR="00CC0317" w:rsidRPr="00595BE0">
        <w:rPr>
          <w:lang w:val="fr-CA"/>
        </w:rPr>
        <w:t>La traduction française est le fruit du travail de l'équipe des services linguistiques de Blake,</w:t>
      </w:r>
      <w:r w:rsidR="00CC0317">
        <w:rPr>
          <w:lang w:val="fr-CA"/>
        </w:rPr>
        <w:t> </w:t>
      </w:r>
      <w:r w:rsidR="00CC0317" w:rsidRPr="00595BE0">
        <w:rPr>
          <w:lang w:val="fr-CA"/>
        </w:rPr>
        <w:t>Cassels</w:t>
      </w:r>
      <w:r w:rsidR="00CC0317">
        <w:rPr>
          <w:lang w:val="fr-CA"/>
        </w:rPr>
        <w:t> </w:t>
      </w:r>
      <w:r w:rsidR="00CC0317" w:rsidRPr="00595BE0">
        <w:rPr>
          <w:lang w:val="fr-CA"/>
        </w:rPr>
        <w:t>&amp;</w:t>
      </w:r>
      <w:r w:rsidR="00CC0317">
        <w:rPr>
          <w:lang w:val="fr-CA"/>
        </w:rPr>
        <w:t> </w:t>
      </w:r>
      <w:r w:rsidR="00CC0317" w:rsidRPr="00595BE0">
        <w:rPr>
          <w:lang w:val="fr-CA"/>
        </w:rPr>
        <w:t>Graydon S.E.N.C.R.L./s.r.l</w:t>
      </w:r>
      <w:r w:rsidR="00CC0317">
        <w:rPr>
          <w:lang w:val="fr-CA"/>
        </w:rPr>
        <w:t>.</w:t>
      </w:r>
    </w:p>
    <w:p w14:paraId="32D22526" w14:textId="7855D6D2" w:rsidR="00037C7E" w:rsidRPr="00D44BA1" w:rsidRDefault="00037C7E" w:rsidP="00462918">
      <w:pPr>
        <w:pStyle w:val="BodyText"/>
        <w:spacing w:after="720"/>
        <w:rPr>
          <w:lang w:val="fr-CA"/>
        </w:rPr>
      </w:pPr>
    </w:p>
    <w:tbl>
      <w:tblPr>
        <w:tblStyle w:val="TableGrid"/>
        <w:tblW w:w="0" w:type="auto"/>
        <w:tblLook w:val="04A0" w:firstRow="1" w:lastRow="0" w:firstColumn="1" w:lastColumn="0" w:noHBand="0" w:noVBand="1"/>
      </w:tblPr>
      <w:tblGrid>
        <w:gridCol w:w="9350"/>
      </w:tblGrid>
      <w:tr w:rsidR="006500EB" w:rsidRPr="00EC10D0" w14:paraId="548FC8C2" w14:textId="77777777">
        <w:tc>
          <w:tcPr>
            <w:tcW w:w="9350" w:type="dxa"/>
          </w:tcPr>
          <w:p w14:paraId="42E7E02C" w14:textId="51576CF1" w:rsidR="00037C7E" w:rsidRPr="00D44BA1" w:rsidRDefault="00462918" w:rsidP="00462918">
            <w:pPr>
              <w:pStyle w:val="TblTxt-CoverPageI"/>
              <w:rPr>
                <w:lang w:val="fr-CA"/>
              </w:rPr>
            </w:pPr>
            <w:r w:rsidRPr="00D44BA1">
              <w:rPr>
                <w:iCs/>
                <w:lang w:val="fr-CA"/>
              </w:rPr>
              <w:t>Avertissement : Le présent modèle de document est fourni à titre informatif seulement et ne doit pas être interprété comme étant un avis juridique portant sur des circonstances ou des faits particuliers. Le présent document est fourni « en l’état », sans aucune garantie, expresse ou implicite, ni responsabilité. Il se veut un point de départ uniquement et il doit être adapté à vos besoins particuliers.</w:t>
            </w:r>
          </w:p>
        </w:tc>
      </w:tr>
    </w:tbl>
    <w:p w14:paraId="2B158CF9" w14:textId="77777777" w:rsidR="00037C7E" w:rsidRPr="0059083D" w:rsidRDefault="00037C7E">
      <w:pPr>
        <w:spacing w:after="1920"/>
        <w:rPr>
          <w:lang w:val="fr-CA"/>
        </w:rPr>
      </w:pPr>
    </w:p>
    <w:p w14:paraId="74CE05C5" w14:textId="5B97EC1C" w:rsidR="00037C7E" w:rsidRPr="009D4254" w:rsidRDefault="000B08F2">
      <w:pPr>
        <w:pStyle w:val="PrelimNotesTitle-CIB"/>
        <w:rPr>
          <w:lang w:val="fr-CA"/>
        </w:rPr>
      </w:pPr>
      <w:r w:rsidRPr="009D4254">
        <w:rPr>
          <w:lang w:val="fr-CA"/>
        </w:rPr>
        <w:t>Notes préliminaires</w:t>
      </w:r>
    </w:p>
    <w:p w14:paraId="1EC04430" w14:textId="0EB1255D" w:rsidR="00037C7E" w:rsidRPr="0059083D" w:rsidRDefault="000B08F2">
      <w:pPr>
        <w:pStyle w:val="BodyText-I"/>
        <w:rPr>
          <w:lang w:val="fr-CA"/>
        </w:rPr>
      </w:pPr>
      <w:r w:rsidRPr="0059083D">
        <w:rPr>
          <w:lang w:val="fr-CA"/>
        </w:rPr>
        <w:t xml:space="preserve">Une convention relative aux droits des investisseurs peut </w:t>
      </w:r>
      <w:r w:rsidR="005F55BB">
        <w:rPr>
          <w:lang w:val="fr-CA"/>
        </w:rPr>
        <w:t xml:space="preserve">traiter </w:t>
      </w:r>
      <w:r w:rsidRPr="0059083D">
        <w:rPr>
          <w:lang w:val="fr-CA"/>
        </w:rPr>
        <w:t xml:space="preserve">de nombreux sujets différents. Les sujets les plus </w:t>
      </w:r>
      <w:r w:rsidR="005F55BB">
        <w:rPr>
          <w:lang w:val="fr-CA"/>
        </w:rPr>
        <w:t xml:space="preserve">fréquemment abordés </w:t>
      </w:r>
      <w:r w:rsidRPr="0059083D">
        <w:rPr>
          <w:lang w:val="fr-CA"/>
        </w:rPr>
        <w:t xml:space="preserve">sont les droits à </w:t>
      </w:r>
      <w:r w:rsidR="002F20BB" w:rsidRPr="0059083D">
        <w:rPr>
          <w:lang w:val="fr-CA"/>
        </w:rPr>
        <w:t>l</w:t>
      </w:r>
      <w:r w:rsidR="002F20BB">
        <w:rPr>
          <w:lang w:val="fr-CA"/>
        </w:rPr>
        <w:t>’</w:t>
      </w:r>
      <w:r w:rsidR="002F20BB" w:rsidRPr="0059083D">
        <w:rPr>
          <w:lang w:val="fr-CA"/>
        </w:rPr>
        <w:t>i</w:t>
      </w:r>
      <w:r w:rsidRPr="0059083D">
        <w:rPr>
          <w:lang w:val="fr-CA"/>
        </w:rPr>
        <w:t xml:space="preserve">nformation, les droits </w:t>
      </w:r>
      <w:r w:rsidR="002F20BB" w:rsidRPr="0059083D">
        <w:rPr>
          <w:lang w:val="fr-CA"/>
        </w:rPr>
        <w:t>d</w:t>
      </w:r>
      <w:r w:rsidR="002F20BB">
        <w:rPr>
          <w:lang w:val="fr-CA"/>
        </w:rPr>
        <w:t>’</w:t>
      </w:r>
      <w:r w:rsidR="002F20BB" w:rsidRPr="0059083D">
        <w:rPr>
          <w:lang w:val="fr-CA"/>
        </w:rPr>
        <w:t>i</w:t>
      </w:r>
      <w:r w:rsidRPr="0059083D">
        <w:rPr>
          <w:lang w:val="fr-CA"/>
        </w:rPr>
        <w:t xml:space="preserve">nscription, les droits </w:t>
      </w:r>
      <w:r w:rsidR="005F55BB">
        <w:rPr>
          <w:lang w:val="fr-CA"/>
        </w:rPr>
        <w:t>« </w:t>
      </w:r>
      <w:r w:rsidRPr="0059083D">
        <w:rPr>
          <w:lang w:val="fr-CA"/>
        </w:rPr>
        <w:t>de première offre</w:t>
      </w:r>
      <w:r w:rsidR="005F55BB">
        <w:rPr>
          <w:lang w:val="fr-CA"/>
        </w:rPr>
        <w:t> »</w:t>
      </w:r>
      <w:r w:rsidRPr="0059083D">
        <w:rPr>
          <w:lang w:val="fr-CA"/>
        </w:rPr>
        <w:t xml:space="preserve"> ou </w:t>
      </w:r>
      <w:r w:rsidR="005F55BB">
        <w:rPr>
          <w:lang w:val="fr-CA"/>
        </w:rPr>
        <w:t>« </w:t>
      </w:r>
      <w:r w:rsidRPr="0059083D">
        <w:rPr>
          <w:lang w:val="fr-CA"/>
        </w:rPr>
        <w:t>préférentiels de souscription</w:t>
      </w:r>
      <w:r w:rsidR="005F55BB">
        <w:rPr>
          <w:lang w:val="fr-CA"/>
        </w:rPr>
        <w:t> »</w:t>
      </w:r>
      <w:r w:rsidRPr="0059083D">
        <w:rPr>
          <w:lang w:val="fr-CA"/>
        </w:rPr>
        <w:t xml:space="preserve"> contractuels (c.-à-d. le droit </w:t>
      </w:r>
      <w:r w:rsidR="002F20BB" w:rsidRPr="0059083D">
        <w:rPr>
          <w:lang w:val="fr-CA"/>
        </w:rPr>
        <w:t>d</w:t>
      </w:r>
      <w:r w:rsidR="002F20BB">
        <w:rPr>
          <w:lang w:val="fr-CA"/>
        </w:rPr>
        <w:t>’</w:t>
      </w:r>
      <w:r w:rsidR="002F20BB" w:rsidRPr="0059083D">
        <w:rPr>
          <w:lang w:val="fr-CA"/>
        </w:rPr>
        <w:t>a</w:t>
      </w:r>
      <w:r w:rsidRPr="0059083D">
        <w:rPr>
          <w:lang w:val="fr-CA"/>
        </w:rPr>
        <w:t xml:space="preserve">cheter des titres dans le cadre de financements par </w:t>
      </w:r>
      <w:r w:rsidR="00D44BA1">
        <w:rPr>
          <w:lang w:val="fr-CA"/>
        </w:rPr>
        <w:t xml:space="preserve">capitaux propres </w:t>
      </w:r>
      <w:r w:rsidRPr="0059083D">
        <w:rPr>
          <w:lang w:val="fr-CA"/>
        </w:rPr>
        <w:t xml:space="preserve">ultérieurs effectués par la Société) et divers engagements </w:t>
      </w:r>
      <w:r w:rsidR="005F55BB" w:rsidRPr="0059083D">
        <w:rPr>
          <w:lang w:val="fr-CA"/>
        </w:rPr>
        <w:t xml:space="preserve">de la Société </w:t>
      </w:r>
      <w:r w:rsidRPr="0059083D">
        <w:rPr>
          <w:lang w:val="fr-CA"/>
        </w:rPr>
        <w:t>postérieurs à la clôture.</w:t>
      </w:r>
    </w:p>
    <w:p w14:paraId="5104B563" w14:textId="77777777" w:rsidR="00037C7E" w:rsidRPr="0059083D" w:rsidRDefault="00037C7E">
      <w:pPr>
        <w:rPr>
          <w:lang w:val="fr-CA"/>
        </w:rPr>
      </w:pPr>
    </w:p>
    <w:p w14:paraId="3CAF6989" w14:textId="77777777" w:rsidR="00037C7E" w:rsidRPr="0059083D" w:rsidRDefault="00037C7E">
      <w:pPr>
        <w:rPr>
          <w:lang w:val="fr-CA"/>
        </w:rPr>
        <w:sectPr w:rsidR="00037C7E" w:rsidRPr="0059083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60"/>
        </w:sectPr>
      </w:pPr>
    </w:p>
    <w:p w14:paraId="30708D0E" w14:textId="45799B8F" w:rsidR="00037C7E" w:rsidRPr="00D44BA1" w:rsidRDefault="000B08F2">
      <w:pPr>
        <w:pStyle w:val="TOCTitle-CU"/>
        <w:rPr>
          <w:lang w:val="fr-CA"/>
        </w:rPr>
      </w:pPr>
      <w:r w:rsidRPr="00D44BA1">
        <w:rPr>
          <w:lang w:val="fr-CA"/>
        </w:rPr>
        <w:lastRenderedPageBreak/>
        <w:t>TABLE DES MATIÈRES</w:t>
      </w:r>
    </w:p>
    <w:p w14:paraId="380D9680" w14:textId="77777777" w:rsidR="00971E7B" w:rsidRPr="00D44BA1" w:rsidRDefault="00971E7B">
      <w:pPr>
        <w:pStyle w:val="BodyText-I"/>
        <w:rPr>
          <w:iCs/>
          <w:lang w:val="fr-CA"/>
        </w:rPr>
      </w:pPr>
      <w:r w:rsidRPr="00D44BA1">
        <w:rPr>
          <w:lang w:val="fr-CA"/>
        </w:rPr>
        <w:t>Note aux rédacteurs : Les titres d’articles et de paragraphes ont été formatés de sorte à s’insérer automatiquement dans la table des matières. Par conséquent, lorsque vous modifierez le présent document pour vos propres besoins, les numéros de page pourraient changer</w:t>
      </w:r>
      <w:r w:rsidRPr="00D44BA1">
        <w:rPr>
          <w:iCs/>
          <w:lang w:val="fr-CA"/>
        </w:rPr>
        <w:t>. Pour que s’affichent les bons numéros de page dans la table des matières, vous devez « mettre à jour les numéros de page » dans la table des matières en faisant ce qui suit : 1) cliquer droit n’importe où dans la table des matières et 2) choisir « Mettre à jour les champs », puis « Mettre à jour les numéros de page uniquement ». Si vous ajoutez ou supprimez des titres de rubrique, suivez les étapes</w:t>
      </w:r>
      <w:bookmarkStart w:id="0" w:name="DocXTextRef5"/>
      <w:r w:rsidRPr="00D44BA1">
        <w:rPr>
          <w:iCs/>
          <w:lang w:val="fr-CA"/>
        </w:rPr>
        <w:t> 1)</w:t>
      </w:r>
      <w:bookmarkEnd w:id="0"/>
      <w:r w:rsidRPr="00D44BA1">
        <w:rPr>
          <w:iCs/>
          <w:lang w:val="fr-CA"/>
        </w:rPr>
        <w:t xml:space="preserve"> et </w:t>
      </w:r>
      <w:bookmarkStart w:id="1" w:name="DocXTextRef6"/>
      <w:r w:rsidRPr="00D44BA1">
        <w:rPr>
          <w:iCs/>
          <w:lang w:val="fr-CA"/>
        </w:rPr>
        <w:t>2)</w:t>
      </w:r>
      <w:bookmarkEnd w:id="1"/>
      <w:r w:rsidRPr="00D44BA1">
        <w:rPr>
          <w:iCs/>
          <w:lang w:val="fr-CA"/>
        </w:rPr>
        <w:t xml:space="preserve"> ci</w:t>
      </w:r>
      <w:r w:rsidRPr="00D44BA1">
        <w:rPr>
          <w:iCs/>
          <w:lang w:val="fr-CA"/>
        </w:rPr>
        <w:noBreakHyphen/>
        <w:t>dessus et choisissez « Mettre à jour toute la table ».</w:t>
      </w:r>
    </w:p>
    <w:p w14:paraId="779AFBF4" w14:textId="77777777" w:rsidR="00037C7E" w:rsidRPr="009D4254" w:rsidRDefault="000B08F2">
      <w:pPr>
        <w:jc w:val="right"/>
        <w:rPr>
          <w:szCs w:val="16"/>
          <w:lang w:val="fr-CA"/>
        </w:rPr>
      </w:pPr>
      <w:r w:rsidRPr="009D4254">
        <w:rPr>
          <w:szCs w:val="16"/>
          <w:u w:val="single"/>
          <w:lang w:val="fr-CA"/>
        </w:rPr>
        <w:t>Page</w:t>
      </w:r>
    </w:p>
    <w:p w14:paraId="5DD85E92" w14:textId="27022057" w:rsidR="009A1EF7" w:rsidRPr="00986BEB" w:rsidRDefault="009A1EF7">
      <w:pPr>
        <w:pStyle w:val="TOC1"/>
        <w:rPr>
          <w:rFonts w:asciiTheme="minorHAnsi" w:eastAsiaTheme="minorEastAsia" w:hAnsiTheme="minorHAnsi"/>
          <w:sz w:val="22"/>
          <w:szCs w:val="22"/>
          <w:lang w:val="fr-CA" w:eastAsia="fr-CA"/>
        </w:rPr>
      </w:pPr>
      <w:r w:rsidRPr="00986BEB">
        <w:rPr>
          <w:b/>
          <w:caps/>
          <w:szCs w:val="16"/>
          <w:lang w:val="fr-CA"/>
        </w:rPr>
        <w:fldChar w:fldCharType="begin"/>
      </w:r>
      <w:r w:rsidRPr="00986BEB">
        <w:rPr>
          <w:b/>
          <w:caps/>
          <w:szCs w:val="16"/>
          <w:lang w:val="fr-CA"/>
        </w:rPr>
        <w:instrText xml:space="preserve"> TOC \h \z \t "Standard_L1;1;Standard_L2;2" </w:instrText>
      </w:r>
      <w:r w:rsidRPr="00986BEB">
        <w:rPr>
          <w:b/>
          <w:caps/>
          <w:szCs w:val="16"/>
          <w:lang w:val="fr-CA"/>
        </w:rPr>
        <w:fldChar w:fldCharType="separate"/>
      </w:r>
      <w:hyperlink w:anchor="_Toc132874715" w:history="1">
        <w:r w:rsidRPr="00986BEB">
          <w:rPr>
            <w:rStyle w:val="Hyperlink"/>
            <w:lang w:val="fr-CA"/>
          </w:rPr>
          <w:t>1.</w:t>
        </w:r>
        <w:r w:rsidRPr="00986BEB">
          <w:rPr>
            <w:rFonts w:asciiTheme="minorHAnsi" w:eastAsiaTheme="minorEastAsia" w:hAnsiTheme="minorHAnsi"/>
            <w:sz w:val="22"/>
            <w:szCs w:val="22"/>
            <w:lang w:val="fr-CA" w:eastAsia="fr-CA"/>
          </w:rPr>
          <w:tab/>
        </w:r>
        <w:r w:rsidRPr="00986BEB">
          <w:rPr>
            <w:rStyle w:val="Hyperlink"/>
            <w:lang w:val="fr-CA"/>
          </w:rPr>
          <w:t>Définitions</w:t>
        </w:r>
        <w:r w:rsidRPr="00986BEB">
          <w:rPr>
            <w:rStyle w:val="Hyperlink"/>
            <w:snapToGrid w:val="0"/>
            <w:lang w:val="fr-CA"/>
          </w:rPr>
          <w:t>.</w:t>
        </w:r>
        <w:r w:rsidRPr="00986BEB">
          <w:rPr>
            <w:webHidden/>
          </w:rPr>
          <w:tab/>
        </w:r>
        <w:r w:rsidRPr="00986BEB">
          <w:rPr>
            <w:webHidden/>
          </w:rPr>
          <w:fldChar w:fldCharType="begin"/>
        </w:r>
        <w:r w:rsidRPr="00986BEB">
          <w:rPr>
            <w:webHidden/>
          </w:rPr>
          <w:instrText xml:space="preserve"> PAGEREF _Toc132874715 \h </w:instrText>
        </w:r>
        <w:r w:rsidRPr="00986BEB">
          <w:rPr>
            <w:webHidden/>
          </w:rPr>
        </w:r>
        <w:r w:rsidRPr="00986BEB">
          <w:rPr>
            <w:webHidden/>
          </w:rPr>
          <w:fldChar w:fldCharType="separate"/>
        </w:r>
        <w:r w:rsidR="00AE1D96">
          <w:rPr>
            <w:webHidden/>
          </w:rPr>
          <w:t>2</w:t>
        </w:r>
        <w:r w:rsidRPr="00986BEB">
          <w:rPr>
            <w:webHidden/>
          </w:rPr>
          <w:fldChar w:fldCharType="end"/>
        </w:r>
      </w:hyperlink>
    </w:p>
    <w:p w14:paraId="50B0DF9B" w14:textId="40452F72" w:rsidR="009A1EF7" w:rsidRPr="00986BEB" w:rsidRDefault="00D106C7">
      <w:pPr>
        <w:pStyle w:val="TOC1"/>
        <w:rPr>
          <w:rFonts w:asciiTheme="minorHAnsi" w:eastAsiaTheme="minorEastAsia" w:hAnsiTheme="minorHAnsi"/>
          <w:sz w:val="22"/>
          <w:szCs w:val="22"/>
          <w:lang w:val="fr-CA" w:eastAsia="fr-CA"/>
        </w:rPr>
      </w:pPr>
      <w:hyperlink w:anchor="_Toc132874716" w:history="1">
        <w:r w:rsidR="009A1EF7" w:rsidRPr="00986BEB">
          <w:rPr>
            <w:rStyle w:val="Hyperlink"/>
            <w:lang w:val="fr-CA"/>
          </w:rPr>
          <w:t>2.</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d’inscription.</w:t>
        </w:r>
        <w:r w:rsidR="009A1EF7" w:rsidRPr="00986BEB">
          <w:rPr>
            <w:webHidden/>
          </w:rPr>
          <w:tab/>
        </w:r>
        <w:r w:rsidR="009A1EF7" w:rsidRPr="00986BEB">
          <w:rPr>
            <w:webHidden/>
          </w:rPr>
          <w:fldChar w:fldCharType="begin"/>
        </w:r>
        <w:r w:rsidR="009A1EF7" w:rsidRPr="00986BEB">
          <w:rPr>
            <w:webHidden/>
          </w:rPr>
          <w:instrText xml:space="preserve"> PAGEREF _Toc132874716 \h </w:instrText>
        </w:r>
        <w:r w:rsidR="009A1EF7" w:rsidRPr="00986BEB">
          <w:rPr>
            <w:webHidden/>
          </w:rPr>
        </w:r>
        <w:r w:rsidR="009A1EF7" w:rsidRPr="00986BEB">
          <w:rPr>
            <w:webHidden/>
          </w:rPr>
          <w:fldChar w:fldCharType="separate"/>
        </w:r>
        <w:r w:rsidR="00AE1D96">
          <w:rPr>
            <w:webHidden/>
          </w:rPr>
          <w:t>8</w:t>
        </w:r>
        <w:r w:rsidR="009A1EF7" w:rsidRPr="00986BEB">
          <w:rPr>
            <w:webHidden/>
          </w:rPr>
          <w:fldChar w:fldCharType="end"/>
        </w:r>
      </w:hyperlink>
    </w:p>
    <w:p w14:paraId="2C7F0B9C" w14:textId="7FAF1DB7" w:rsidR="009A1EF7" w:rsidRPr="00986BEB" w:rsidRDefault="00D106C7">
      <w:pPr>
        <w:pStyle w:val="TOC2"/>
        <w:rPr>
          <w:rFonts w:asciiTheme="minorHAnsi" w:eastAsiaTheme="minorEastAsia" w:hAnsiTheme="minorHAnsi"/>
          <w:sz w:val="22"/>
          <w:szCs w:val="22"/>
          <w:lang w:val="fr-CA" w:eastAsia="fr-CA"/>
        </w:rPr>
      </w:pPr>
      <w:hyperlink w:anchor="_Toc132874717" w:history="1">
        <w:r w:rsidR="009A1EF7" w:rsidRPr="00986BEB">
          <w:rPr>
            <w:rStyle w:val="Hyperlink"/>
            <w:lang w:val="fr-CA"/>
          </w:rPr>
          <w:t>2.1</w:t>
        </w:r>
        <w:r w:rsidR="009A1EF7" w:rsidRPr="00986BEB">
          <w:rPr>
            <w:rFonts w:asciiTheme="minorHAnsi" w:eastAsiaTheme="minorEastAsia" w:hAnsiTheme="minorHAnsi"/>
            <w:sz w:val="22"/>
            <w:szCs w:val="22"/>
            <w:lang w:val="fr-CA" w:eastAsia="fr-CA"/>
          </w:rPr>
          <w:tab/>
        </w:r>
        <w:r w:rsidR="009A1EF7" w:rsidRPr="00986BEB">
          <w:rPr>
            <w:rStyle w:val="Hyperlink"/>
            <w:lang w:val="fr-CA"/>
          </w:rPr>
          <w:t>Inscription sur demande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_Toc132874717 \h </w:instrText>
        </w:r>
        <w:r w:rsidR="009A1EF7" w:rsidRPr="00986BEB">
          <w:rPr>
            <w:webHidden/>
          </w:rPr>
        </w:r>
        <w:r w:rsidR="009A1EF7" w:rsidRPr="00986BEB">
          <w:rPr>
            <w:webHidden/>
          </w:rPr>
          <w:fldChar w:fldCharType="separate"/>
        </w:r>
        <w:r w:rsidR="00AE1D96">
          <w:rPr>
            <w:webHidden/>
          </w:rPr>
          <w:t>8</w:t>
        </w:r>
        <w:r w:rsidR="009A1EF7" w:rsidRPr="00986BEB">
          <w:rPr>
            <w:webHidden/>
          </w:rPr>
          <w:fldChar w:fldCharType="end"/>
        </w:r>
      </w:hyperlink>
    </w:p>
    <w:p w14:paraId="20ED3265" w14:textId="248B8EE9" w:rsidR="009A1EF7" w:rsidRPr="00986BEB" w:rsidRDefault="00D106C7">
      <w:pPr>
        <w:pStyle w:val="TOC2"/>
        <w:rPr>
          <w:rFonts w:asciiTheme="minorHAnsi" w:eastAsiaTheme="minorEastAsia" w:hAnsiTheme="minorHAnsi"/>
          <w:sz w:val="22"/>
          <w:szCs w:val="22"/>
          <w:lang w:val="fr-CA" w:eastAsia="fr-CA"/>
        </w:rPr>
      </w:pPr>
      <w:hyperlink w:anchor="_Toc132874718" w:history="1">
        <w:r w:rsidR="009A1EF7" w:rsidRPr="00986BEB">
          <w:rPr>
            <w:rStyle w:val="Hyperlink"/>
            <w:lang w:val="fr-CA"/>
          </w:rPr>
          <w:t>2.2</w:t>
        </w:r>
        <w:r w:rsidR="009A1EF7" w:rsidRPr="00986BEB">
          <w:rPr>
            <w:rFonts w:asciiTheme="minorHAnsi" w:eastAsiaTheme="minorEastAsia" w:hAnsiTheme="minorHAnsi"/>
            <w:sz w:val="22"/>
            <w:szCs w:val="22"/>
            <w:lang w:val="fr-CA" w:eastAsia="fr-CA"/>
          </w:rPr>
          <w:tab/>
        </w:r>
        <w:r w:rsidR="009A1EF7" w:rsidRPr="00986BEB">
          <w:rPr>
            <w:rStyle w:val="Hyperlink"/>
            <w:lang w:val="fr-CA"/>
          </w:rPr>
          <w:t>Inscription par la Société</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_Toc132874718 \h </w:instrText>
        </w:r>
        <w:r w:rsidR="009A1EF7" w:rsidRPr="00986BEB">
          <w:rPr>
            <w:webHidden/>
          </w:rPr>
        </w:r>
        <w:r w:rsidR="009A1EF7" w:rsidRPr="00986BEB">
          <w:rPr>
            <w:webHidden/>
          </w:rPr>
          <w:fldChar w:fldCharType="separate"/>
        </w:r>
        <w:r w:rsidR="00AE1D96">
          <w:rPr>
            <w:webHidden/>
          </w:rPr>
          <w:t>11</w:t>
        </w:r>
        <w:r w:rsidR="009A1EF7" w:rsidRPr="00986BEB">
          <w:rPr>
            <w:webHidden/>
          </w:rPr>
          <w:fldChar w:fldCharType="end"/>
        </w:r>
      </w:hyperlink>
    </w:p>
    <w:p w14:paraId="46B3148C" w14:textId="3A11C5BA" w:rsidR="009A1EF7" w:rsidRPr="00986BEB" w:rsidRDefault="00D106C7">
      <w:pPr>
        <w:pStyle w:val="TOC2"/>
        <w:rPr>
          <w:rFonts w:asciiTheme="minorHAnsi" w:eastAsiaTheme="minorEastAsia" w:hAnsiTheme="minorHAnsi"/>
          <w:sz w:val="22"/>
          <w:szCs w:val="22"/>
          <w:lang w:val="fr-CA" w:eastAsia="fr-CA"/>
        </w:rPr>
      </w:pPr>
      <w:hyperlink w:anchor="_Toc132874719" w:history="1">
        <w:r w:rsidR="009A1EF7" w:rsidRPr="00986BEB">
          <w:rPr>
            <w:rStyle w:val="Hyperlink"/>
            <w:lang w:val="fr-CA"/>
          </w:rPr>
          <w:t>2.3</w:t>
        </w:r>
        <w:r w:rsidR="009A1EF7" w:rsidRPr="00986BEB">
          <w:rPr>
            <w:rFonts w:asciiTheme="minorHAnsi" w:eastAsiaTheme="minorEastAsia" w:hAnsiTheme="minorHAnsi"/>
            <w:sz w:val="22"/>
            <w:szCs w:val="22"/>
            <w:lang w:val="fr-CA" w:eastAsia="fr-CA"/>
          </w:rPr>
          <w:tab/>
        </w:r>
        <w:r w:rsidR="009A1EF7" w:rsidRPr="00986BEB">
          <w:rPr>
            <w:rStyle w:val="Hyperlink"/>
            <w:lang w:val="fr-CA"/>
          </w:rPr>
          <w:t>Exigences en matière de prise ferme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_Toc132874719 \h </w:instrText>
        </w:r>
        <w:r w:rsidR="009A1EF7" w:rsidRPr="00986BEB">
          <w:rPr>
            <w:webHidden/>
          </w:rPr>
        </w:r>
        <w:r w:rsidR="009A1EF7" w:rsidRPr="00986BEB">
          <w:rPr>
            <w:webHidden/>
          </w:rPr>
          <w:fldChar w:fldCharType="separate"/>
        </w:r>
        <w:r w:rsidR="00AE1D96">
          <w:rPr>
            <w:webHidden/>
          </w:rPr>
          <w:t>11</w:t>
        </w:r>
        <w:r w:rsidR="009A1EF7" w:rsidRPr="00986BEB">
          <w:rPr>
            <w:webHidden/>
          </w:rPr>
          <w:fldChar w:fldCharType="end"/>
        </w:r>
      </w:hyperlink>
    </w:p>
    <w:p w14:paraId="5F28201D" w14:textId="3224D976" w:rsidR="009A1EF7" w:rsidRPr="00986BEB" w:rsidRDefault="00D106C7">
      <w:pPr>
        <w:pStyle w:val="TOC2"/>
        <w:rPr>
          <w:rFonts w:asciiTheme="minorHAnsi" w:eastAsiaTheme="minorEastAsia" w:hAnsiTheme="minorHAnsi"/>
          <w:sz w:val="22"/>
          <w:szCs w:val="22"/>
          <w:lang w:val="fr-CA" w:eastAsia="fr-CA"/>
        </w:rPr>
      </w:pPr>
      <w:hyperlink w:anchor="_Toc132874720" w:history="1">
        <w:r w:rsidR="009A1EF7" w:rsidRPr="00986BEB">
          <w:rPr>
            <w:rStyle w:val="Hyperlink"/>
            <w:lang w:val="fr-CA"/>
          </w:rPr>
          <w:t>2.4</w:t>
        </w:r>
        <w:r w:rsidR="009A1EF7" w:rsidRPr="00986BEB">
          <w:rPr>
            <w:rFonts w:asciiTheme="minorHAnsi" w:eastAsiaTheme="minorEastAsia" w:hAnsiTheme="minorHAnsi"/>
            <w:sz w:val="22"/>
            <w:szCs w:val="22"/>
            <w:lang w:val="fr-CA" w:eastAsia="fr-CA"/>
          </w:rPr>
          <w:tab/>
        </w:r>
        <w:r w:rsidR="009A1EF7" w:rsidRPr="00986BEB">
          <w:rPr>
            <w:rStyle w:val="Hyperlink"/>
            <w:lang w:val="fr-CA"/>
          </w:rPr>
          <w:t>Obligations de la Société</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_Toc132874720 \h </w:instrText>
        </w:r>
        <w:r w:rsidR="009A1EF7" w:rsidRPr="00986BEB">
          <w:rPr>
            <w:webHidden/>
          </w:rPr>
        </w:r>
        <w:r w:rsidR="009A1EF7" w:rsidRPr="00986BEB">
          <w:rPr>
            <w:webHidden/>
          </w:rPr>
          <w:fldChar w:fldCharType="separate"/>
        </w:r>
        <w:r w:rsidR="00AE1D96">
          <w:rPr>
            <w:webHidden/>
          </w:rPr>
          <w:t>13</w:t>
        </w:r>
        <w:r w:rsidR="009A1EF7" w:rsidRPr="00986BEB">
          <w:rPr>
            <w:webHidden/>
          </w:rPr>
          <w:fldChar w:fldCharType="end"/>
        </w:r>
      </w:hyperlink>
    </w:p>
    <w:p w14:paraId="2164EFE6" w14:textId="7525D65B" w:rsidR="009A1EF7" w:rsidRPr="00986BEB" w:rsidRDefault="00D106C7">
      <w:pPr>
        <w:pStyle w:val="TOC2"/>
        <w:rPr>
          <w:rFonts w:asciiTheme="minorHAnsi" w:eastAsiaTheme="minorEastAsia" w:hAnsiTheme="minorHAnsi"/>
          <w:sz w:val="22"/>
          <w:szCs w:val="22"/>
          <w:lang w:val="fr-CA" w:eastAsia="fr-CA"/>
        </w:rPr>
      </w:pPr>
      <w:hyperlink w:anchor="_Toc132874721" w:history="1">
        <w:r w:rsidR="009A1EF7" w:rsidRPr="00986BEB">
          <w:rPr>
            <w:rStyle w:val="Hyperlink"/>
            <w:lang w:val="fr-CA"/>
          </w:rPr>
          <w:t>2.5</w:t>
        </w:r>
        <w:r w:rsidR="009A1EF7" w:rsidRPr="00986BEB">
          <w:rPr>
            <w:rFonts w:asciiTheme="minorHAnsi" w:eastAsiaTheme="minorEastAsia" w:hAnsiTheme="minorHAnsi"/>
            <w:sz w:val="22"/>
            <w:szCs w:val="22"/>
            <w:lang w:val="fr-CA" w:eastAsia="fr-CA"/>
          </w:rPr>
          <w:tab/>
        </w:r>
        <w:r w:rsidR="009A1EF7" w:rsidRPr="00986BEB">
          <w:rPr>
            <w:rStyle w:val="Hyperlink"/>
            <w:lang w:val="fr-CA"/>
          </w:rPr>
          <w:t>Fourniture de renseignements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_Toc132874721 \h </w:instrText>
        </w:r>
        <w:r w:rsidR="009A1EF7" w:rsidRPr="00986BEB">
          <w:rPr>
            <w:webHidden/>
          </w:rPr>
        </w:r>
        <w:r w:rsidR="009A1EF7" w:rsidRPr="00986BEB">
          <w:rPr>
            <w:webHidden/>
          </w:rPr>
          <w:fldChar w:fldCharType="separate"/>
        </w:r>
        <w:r w:rsidR="00AE1D96">
          <w:rPr>
            <w:webHidden/>
          </w:rPr>
          <w:t>15</w:t>
        </w:r>
        <w:r w:rsidR="009A1EF7" w:rsidRPr="00986BEB">
          <w:rPr>
            <w:webHidden/>
          </w:rPr>
          <w:fldChar w:fldCharType="end"/>
        </w:r>
      </w:hyperlink>
    </w:p>
    <w:p w14:paraId="38540B98" w14:textId="7CC2CC69" w:rsidR="009A1EF7" w:rsidRPr="00986BEB" w:rsidRDefault="00D106C7">
      <w:pPr>
        <w:pStyle w:val="TOC2"/>
        <w:rPr>
          <w:rFonts w:asciiTheme="minorHAnsi" w:eastAsiaTheme="minorEastAsia" w:hAnsiTheme="minorHAnsi"/>
          <w:sz w:val="22"/>
          <w:szCs w:val="22"/>
          <w:lang w:val="fr-CA" w:eastAsia="fr-CA"/>
        </w:rPr>
      </w:pPr>
      <w:hyperlink w:anchor="_Toc132874722" w:history="1">
        <w:r w:rsidR="009A1EF7" w:rsidRPr="00986BEB">
          <w:rPr>
            <w:rStyle w:val="Hyperlink"/>
            <w:lang w:val="fr-CA"/>
          </w:rPr>
          <w:t>2.6</w:t>
        </w:r>
        <w:r w:rsidR="009A1EF7" w:rsidRPr="00986BEB">
          <w:rPr>
            <w:rFonts w:asciiTheme="minorHAnsi" w:eastAsiaTheme="minorEastAsia" w:hAnsiTheme="minorHAnsi"/>
            <w:sz w:val="22"/>
            <w:szCs w:val="22"/>
            <w:lang w:val="fr-CA" w:eastAsia="fr-CA"/>
          </w:rPr>
          <w:tab/>
        </w:r>
        <w:r w:rsidR="009A1EF7" w:rsidRPr="00986BEB">
          <w:rPr>
            <w:rStyle w:val="Hyperlink"/>
            <w:lang w:val="fr-CA"/>
          </w:rPr>
          <w:t>Frais d’inscription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_Toc132874722 \h </w:instrText>
        </w:r>
        <w:r w:rsidR="009A1EF7" w:rsidRPr="00986BEB">
          <w:rPr>
            <w:webHidden/>
          </w:rPr>
        </w:r>
        <w:r w:rsidR="009A1EF7" w:rsidRPr="00986BEB">
          <w:rPr>
            <w:webHidden/>
          </w:rPr>
          <w:fldChar w:fldCharType="separate"/>
        </w:r>
        <w:r w:rsidR="00AE1D96">
          <w:rPr>
            <w:webHidden/>
          </w:rPr>
          <w:t>15</w:t>
        </w:r>
        <w:r w:rsidR="009A1EF7" w:rsidRPr="00986BEB">
          <w:rPr>
            <w:webHidden/>
          </w:rPr>
          <w:fldChar w:fldCharType="end"/>
        </w:r>
      </w:hyperlink>
    </w:p>
    <w:p w14:paraId="0B4D932C" w14:textId="2FF297AC" w:rsidR="009A1EF7" w:rsidRPr="00986BEB" w:rsidRDefault="00D106C7">
      <w:pPr>
        <w:pStyle w:val="TOC2"/>
        <w:rPr>
          <w:rFonts w:asciiTheme="minorHAnsi" w:eastAsiaTheme="minorEastAsia" w:hAnsiTheme="minorHAnsi"/>
          <w:sz w:val="22"/>
          <w:szCs w:val="22"/>
          <w:lang w:val="fr-CA" w:eastAsia="fr-CA"/>
        </w:rPr>
      </w:pPr>
      <w:hyperlink w:anchor="_Toc132874723" w:history="1">
        <w:r w:rsidR="009A1EF7" w:rsidRPr="00986BEB">
          <w:rPr>
            <w:rStyle w:val="Hyperlink"/>
            <w:lang w:val="fr-CA"/>
          </w:rPr>
          <w:t>2.7</w:t>
        </w:r>
        <w:r w:rsidR="009A1EF7" w:rsidRPr="00986BEB">
          <w:rPr>
            <w:rFonts w:asciiTheme="minorHAnsi" w:eastAsiaTheme="minorEastAsia" w:hAnsiTheme="minorHAnsi"/>
            <w:sz w:val="22"/>
            <w:szCs w:val="22"/>
            <w:lang w:val="fr-CA" w:eastAsia="fr-CA"/>
          </w:rPr>
          <w:tab/>
        </w:r>
        <w:r w:rsidR="009A1EF7" w:rsidRPr="00986BEB">
          <w:rPr>
            <w:rStyle w:val="Hyperlink"/>
            <w:lang w:val="fr-CA"/>
          </w:rPr>
          <w:t>Report d’inscription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_Toc132874723 \h </w:instrText>
        </w:r>
        <w:r w:rsidR="009A1EF7" w:rsidRPr="00986BEB">
          <w:rPr>
            <w:webHidden/>
          </w:rPr>
        </w:r>
        <w:r w:rsidR="009A1EF7" w:rsidRPr="00986BEB">
          <w:rPr>
            <w:webHidden/>
          </w:rPr>
          <w:fldChar w:fldCharType="separate"/>
        </w:r>
        <w:r w:rsidR="00AE1D96">
          <w:rPr>
            <w:webHidden/>
          </w:rPr>
          <w:t>16</w:t>
        </w:r>
        <w:r w:rsidR="009A1EF7" w:rsidRPr="00986BEB">
          <w:rPr>
            <w:webHidden/>
          </w:rPr>
          <w:fldChar w:fldCharType="end"/>
        </w:r>
      </w:hyperlink>
    </w:p>
    <w:p w14:paraId="3A13C75E" w14:textId="19CCA83C" w:rsidR="009A1EF7" w:rsidRPr="00986BEB" w:rsidRDefault="00D106C7">
      <w:pPr>
        <w:pStyle w:val="TOC2"/>
        <w:rPr>
          <w:rFonts w:asciiTheme="minorHAnsi" w:eastAsiaTheme="minorEastAsia" w:hAnsiTheme="minorHAnsi"/>
          <w:sz w:val="22"/>
          <w:szCs w:val="22"/>
          <w:lang w:val="fr-CA" w:eastAsia="fr-CA"/>
        </w:rPr>
      </w:pPr>
      <w:hyperlink w:anchor="_Toc132874724" w:history="1">
        <w:r w:rsidR="009A1EF7" w:rsidRPr="00986BEB">
          <w:rPr>
            <w:rStyle w:val="Hyperlink"/>
            <w:lang w:val="fr-CA"/>
          </w:rPr>
          <w:t>2.8</w:t>
        </w:r>
        <w:r w:rsidR="009A1EF7" w:rsidRPr="00986BEB">
          <w:rPr>
            <w:rFonts w:asciiTheme="minorHAnsi" w:eastAsiaTheme="minorEastAsia" w:hAnsiTheme="minorHAnsi"/>
            <w:sz w:val="22"/>
            <w:szCs w:val="22"/>
            <w:lang w:val="fr-CA" w:eastAsia="fr-CA"/>
          </w:rPr>
          <w:tab/>
        </w:r>
        <w:r w:rsidR="009A1EF7" w:rsidRPr="00986BEB">
          <w:rPr>
            <w:rStyle w:val="Hyperlink"/>
            <w:lang w:val="fr-CA"/>
          </w:rPr>
          <w:t>Indemnisation.</w:t>
        </w:r>
        <w:r w:rsidR="009A1EF7" w:rsidRPr="00986BEB">
          <w:rPr>
            <w:webHidden/>
          </w:rPr>
          <w:tab/>
        </w:r>
        <w:r w:rsidR="009A1EF7" w:rsidRPr="00986BEB">
          <w:rPr>
            <w:webHidden/>
          </w:rPr>
          <w:fldChar w:fldCharType="begin"/>
        </w:r>
        <w:r w:rsidR="009A1EF7" w:rsidRPr="00986BEB">
          <w:rPr>
            <w:webHidden/>
          </w:rPr>
          <w:instrText xml:space="preserve"> PAGEREF _Toc132874724 \h </w:instrText>
        </w:r>
        <w:r w:rsidR="009A1EF7" w:rsidRPr="00986BEB">
          <w:rPr>
            <w:webHidden/>
          </w:rPr>
        </w:r>
        <w:r w:rsidR="009A1EF7" w:rsidRPr="00986BEB">
          <w:rPr>
            <w:webHidden/>
          </w:rPr>
          <w:fldChar w:fldCharType="separate"/>
        </w:r>
        <w:r w:rsidR="00AE1D96">
          <w:rPr>
            <w:webHidden/>
          </w:rPr>
          <w:t>16</w:t>
        </w:r>
        <w:r w:rsidR="009A1EF7" w:rsidRPr="00986BEB">
          <w:rPr>
            <w:webHidden/>
          </w:rPr>
          <w:fldChar w:fldCharType="end"/>
        </w:r>
      </w:hyperlink>
    </w:p>
    <w:p w14:paraId="23D42676" w14:textId="5E71C785" w:rsidR="009A1EF7" w:rsidRPr="00986BEB" w:rsidRDefault="00D106C7">
      <w:pPr>
        <w:pStyle w:val="TOC2"/>
        <w:rPr>
          <w:rFonts w:asciiTheme="minorHAnsi" w:eastAsiaTheme="minorEastAsia" w:hAnsiTheme="minorHAnsi"/>
          <w:sz w:val="22"/>
          <w:szCs w:val="22"/>
          <w:lang w:val="fr-CA" w:eastAsia="fr-CA"/>
        </w:rPr>
      </w:pPr>
      <w:hyperlink w:anchor="_Toc132874725" w:history="1">
        <w:r w:rsidR="009A1EF7" w:rsidRPr="00986BEB">
          <w:rPr>
            <w:rStyle w:val="Hyperlink"/>
            <w:lang w:val="fr-CA"/>
          </w:rPr>
          <w:t>2.9</w:t>
        </w:r>
        <w:r w:rsidR="009A1EF7" w:rsidRPr="00986BEB">
          <w:rPr>
            <w:rFonts w:asciiTheme="minorHAnsi" w:eastAsiaTheme="minorEastAsia" w:hAnsiTheme="minorHAnsi"/>
            <w:sz w:val="22"/>
            <w:szCs w:val="22"/>
            <w:lang w:val="fr-CA" w:eastAsia="fr-CA"/>
          </w:rPr>
          <w:tab/>
        </w:r>
        <w:r w:rsidR="009A1EF7" w:rsidRPr="00986BEB">
          <w:rPr>
            <w:rStyle w:val="Hyperlink"/>
            <w:lang w:val="fr-CA"/>
          </w:rPr>
          <w:t>Revente de titres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_Toc132874725 \h </w:instrText>
        </w:r>
        <w:r w:rsidR="009A1EF7" w:rsidRPr="00986BEB">
          <w:rPr>
            <w:webHidden/>
          </w:rPr>
        </w:r>
        <w:r w:rsidR="009A1EF7" w:rsidRPr="00986BEB">
          <w:rPr>
            <w:webHidden/>
          </w:rPr>
          <w:fldChar w:fldCharType="separate"/>
        </w:r>
        <w:r w:rsidR="00AE1D96">
          <w:rPr>
            <w:webHidden/>
          </w:rPr>
          <w:t>19</w:t>
        </w:r>
        <w:r w:rsidR="009A1EF7" w:rsidRPr="00986BEB">
          <w:rPr>
            <w:webHidden/>
          </w:rPr>
          <w:fldChar w:fldCharType="end"/>
        </w:r>
      </w:hyperlink>
    </w:p>
    <w:p w14:paraId="1CD43105" w14:textId="7558C6C7" w:rsidR="009A1EF7" w:rsidRPr="00986BEB" w:rsidRDefault="00D106C7">
      <w:pPr>
        <w:pStyle w:val="TOC2"/>
        <w:rPr>
          <w:rFonts w:asciiTheme="minorHAnsi" w:eastAsiaTheme="minorEastAsia" w:hAnsiTheme="minorHAnsi"/>
          <w:sz w:val="22"/>
          <w:szCs w:val="22"/>
          <w:lang w:val="fr-CA" w:eastAsia="fr-CA"/>
        </w:rPr>
      </w:pPr>
      <w:hyperlink w:anchor="_Toc132874726" w:history="1">
        <w:r w:rsidR="009A1EF7" w:rsidRPr="00986BEB">
          <w:rPr>
            <w:rStyle w:val="Hyperlink"/>
            <w:lang w:val="fr-CA"/>
          </w:rPr>
          <w:t>2.10</w:t>
        </w:r>
        <w:r w:rsidR="009A1EF7" w:rsidRPr="00986BEB">
          <w:rPr>
            <w:rFonts w:asciiTheme="minorHAnsi" w:eastAsiaTheme="minorEastAsia" w:hAnsiTheme="minorHAnsi"/>
            <w:sz w:val="22"/>
            <w:szCs w:val="22"/>
            <w:lang w:val="fr-CA" w:eastAsia="fr-CA"/>
          </w:rPr>
          <w:tab/>
        </w:r>
        <w:r w:rsidR="009A1EF7" w:rsidRPr="00986BEB">
          <w:rPr>
            <w:rStyle w:val="Hyperlink"/>
            <w:lang w:val="fr-CA"/>
          </w:rPr>
          <w:t>Limitation des droits d’inscription subséquents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_Toc132874726 \h </w:instrText>
        </w:r>
        <w:r w:rsidR="009A1EF7" w:rsidRPr="00986BEB">
          <w:rPr>
            <w:webHidden/>
          </w:rPr>
        </w:r>
        <w:r w:rsidR="009A1EF7" w:rsidRPr="00986BEB">
          <w:rPr>
            <w:webHidden/>
          </w:rPr>
          <w:fldChar w:fldCharType="separate"/>
        </w:r>
        <w:r w:rsidR="00AE1D96">
          <w:rPr>
            <w:webHidden/>
          </w:rPr>
          <w:t>20</w:t>
        </w:r>
        <w:r w:rsidR="009A1EF7" w:rsidRPr="00986BEB">
          <w:rPr>
            <w:webHidden/>
          </w:rPr>
          <w:fldChar w:fldCharType="end"/>
        </w:r>
      </w:hyperlink>
    </w:p>
    <w:p w14:paraId="1369507B" w14:textId="37F8A522" w:rsidR="009A1EF7" w:rsidRPr="00986BEB" w:rsidRDefault="00D106C7">
      <w:pPr>
        <w:pStyle w:val="TOC2"/>
        <w:rPr>
          <w:rFonts w:asciiTheme="minorHAnsi" w:eastAsiaTheme="minorEastAsia" w:hAnsiTheme="minorHAnsi"/>
          <w:sz w:val="22"/>
          <w:szCs w:val="22"/>
          <w:lang w:val="fr-CA" w:eastAsia="fr-CA"/>
        </w:rPr>
      </w:pPr>
      <w:hyperlink w:anchor="_Toc132874727" w:history="1">
        <w:r w:rsidR="009A1EF7" w:rsidRPr="00986BEB">
          <w:rPr>
            <w:rStyle w:val="Hyperlink"/>
            <w:lang w:val="fr-CA"/>
          </w:rPr>
          <w:t>2.11</w:t>
        </w:r>
        <w:r w:rsidR="009A1EF7" w:rsidRPr="00986BEB">
          <w:rPr>
            <w:rFonts w:asciiTheme="minorHAnsi" w:eastAsiaTheme="minorEastAsia" w:hAnsiTheme="minorHAnsi"/>
            <w:sz w:val="22"/>
            <w:szCs w:val="22"/>
            <w:lang w:val="fr-CA" w:eastAsia="fr-CA"/>
          </w:rPr>
          <w:tab/>
        </w:r>
        <w:r w:rsidR="009A1EF7" w:rsidRPr="00986BEB">
          <w:rPr>
            <w:rStyle w:val="Hyperlink"/>
            <w:lang w:val="fr-CA"/>
          </w:rPr>
          <w:t>Convention de « restriction de la négociation sur le marché ».</w:t>
        </w:r>
        <w:r w:rsidR="009A1EF7" w:rsidRPr="00986BEB">
          <w:rPr>
            <w:webHidden/>
          </w:rPr>
          <w:tab/>
        </w:r>
        <w:r w:rsidR="009A1EF7" w:rsidRPr="00986BEB">
          <w:rPr>
            <w:webHidden/>
          </w:rPr>
          <w:fldChar w:fldCharType="begin"/>
        </w:r>
        <w:r w:rsidR="009A1EF7" w:rsidRPr="00986BEB">
          <w:rPr>
            <w:webHidden/>
          </w:rPr>
          <w:instrText xml:space="preserve"> PAGEREF _Toc132874727 \h </w:instrText>
        </w:r>
        <w:r w:rsidR="009A1EF7" w:rsidRPr="00986BEB">
          <w:rPr>
            <w:webHidden/>
          </w:rPr>
        </w:r>
        <w:r w:rsidR="009A1EF7" w:rsidRPr="00986BEB">
          <w:rPr>
            <w:webHidden/>
          </w:rPr>
          <w:fldChar w:fldCharType="separate"/>
        </w:r>
        <w:r w:rsidR="00AE1D96">
          <w:rPr>
            <w:webHidden/>
          </w:rPr>
          <w:t>20</w:t>
        </w:r>
        <w:r w:rsidR="009A1EF7" w:rsidRPr="00986BEB">
          <w:rPr>
            <w:webHidden/>
          </w:rPr>
          <w:fldChar w:fldCharType="end"/>
        </w:r>
      </w:hyperlink>
    </w:p>
    <w:p w14:paraId="4A4132FC" w14:textId="396A4228" w:rsidR="009A1EF7" w:rsidRPr="00986BEB" w:rsidRDefault="00D106C7">
      <w:pPr>
        <w:pStyle w:val="TOC2"/>
        <w:rPr>
          <w:rFonts w:asciiTheme="minorHAnsi" w:eastAsiaTheme="minorEastAsia" w:hAnsiTheme="minorHAnsi"/>
          <w:sz w:val="22"/>
          <w:szCs w:val="22"/>
          <w:lang w:val="fr-CA" w:eastAsia="fr-CA"/>
        </w:rPr>
      </w:pPr>
      <w:hyperlink w:anchor="_Toc132874728" w:history="1">
        <w:r w:rsidR="009A1EF7" w:rsidRPr="00986BEB">
          <w:rPr>
            <w:rStyle w:val="Hyperlink"/>
            <w:lang w:val="fr-CA"/>
          </w:rPr>
          <w:t>2.12</w:t>
        </w:r>
        <w:r w:rsidR="009A1EF7" w:rsidRPr="00986BEB">
          <w:rPr>
            <w:rFonts w:asciiTheme="minorHAnsi" w:eastAsiaTheme="minorEastAsia" w:hAnsiTheme="minorHAnsi"/>
            <w:sz w:val="22"/>
            <w:szCs w:val="22"/>
            <w:lang w:val="fr-CA" w:eastAsia="fr-CA"/>
          </w:rPr>
          <w:tab/>
        </w:r>
        <w:r w:rsidR="009A1EF7" w:rsidRPr="00986BEB">
          <w:rPr>
            <w:rStyle w:val="Hyperlink"/>
            <w:lang w:val="fr-CA"/>
          </w:rPr>
          <w:t>Restrictions au transfert.</w:t>
        </w:r>
        <w:r w:rsidR="009A1EF7" w:rsidRPr="00986BEB">
          <w:rPr>
            <w:webHidden/>
          </w:rPr>
          <w:tab/>
        </w:r>
        <w:r w:rsidR="009A1EF7" w:rsidRPr="00986BEB">
          <w:rPr>
            <w:webHidden/>
          </w:rPr>
          <w:fldChar w:fldCharType="begin"/>
        </w:r>
        <w:r w:rsidR="009A1EF7" w:rsidRPr="00986BEB">
          <w:rPr>
            <w:webHidden/>
          </w:rPr>
          <w:instrText xml:space="preserve"> PAGEREF _Toc132874728 \h </w:instrText>
        </w:r>
        <w:r w:rsidR="009A1EF7" w:rsidRPr="00986BEB">
          <w:rPr>
            <w:webHidden/>
          </w:rPr>
        </w:r>
        <w:r w:rsidR="009A1EF7" w:rsidRPr="00986BEB">
          <w:rPr>
            <w:webHidden/>
          </w:rPr>
          <w:fldChar w:fldCharType="separate"/>
        </w:r>
        <w:r w:rsidR="00AE1D96">
          <w:rPr>
            <w:webHidden/>
          </w:rPr>
          <w:t>22</w:t>
        </w:r>
        <w:r w:rsidR="009A1EF7" w:rsidRPr="00986BEB">
          <w:rPr>
            <w:webHidden/>
          </w:rPr>
          <w:fldChar w:fldCharType="end"/>
        </w:r>
      </w:hyperlink>
    </w:p>
    <w:p w14:paraId="424DBF25" w14:textId="7EA1E0EB" w:rsidR="009A1EF7" w:rsidRPr="00986BEB" w:rsidRDefault="00D106C7">
      <w:pPr>
        <w:pStyle w:val="TOC2"/>
        <w:rPr>
          <w:rFonts w:asciiTheme="minorHAnsi" w:eastAsiaTheme="minorEastAsia" w:hAnsiTheme="minorHAnsi"/>
          <w:sz w:val="22"/>
          <w:szCs w:val="22"/>
          <w:lang w:val="fr-CA" w:eastAsia="fr-CA"/>
        </w:rPr>
      </w:pPr>
      <w:hyperlink w:anchor="_Toc132874729" w:history="1">
        <w:r w:rsidR="009A1EF7" w:rsidRPr="00986BEB">
          <w:rPr>
            <w:rStyle w:val="Hyperlink"/>
            <w:lang w:val="fr-CA"/>
          </w:rPr>
          <w:t>2.13</w:t>
        </w:r>
        <w:r w:rsidR="009A1EF7" w:rsidRPr="00986BEB">
          <w:rPr>
            <w:rFonts w:asciiTheme="minorHAnsi" w:eastAsiaTheme="minorEastAsia" w:hAnsiTheme="minorHAnsi"/>
            <w:sz w:val="22"/>
            <w:szCs w:val="22"/>
            <w:lang w:val="fr-CA" w:eastAsia="fr-CA"/>
          </w:rPr>
          <w:tab/>
        </w:r>
        <w:r w:rsidR="009A1EF7" w:rsidRPr="00986BEB">
          <w:rPr>
            <w:rStyle w:val="Hyperlink"/>
            <w:lang w:val="fr-CA"/>
          </w:rPr>
          <w:t>Extinction des droits d’inscription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_Toc132874729 \h </w:instrText>
        </w:r>
        <w:r w:rsidR="009A1EF7" w:rsidRPr="00986BEB">
          <w:rPr>
            <w:webHidden/>
          </w:rPr>
        </w:r>
        <w:r w:rsidR="009A1EF7" w:rsidRPr="00986BEB">
          <w:rPr>
            <w:webHidden/>
          </w:rPr>
          <w:fldChar w:fldCharType="separate"/>
        </w:r>
        <w:r w:rsidR="00AE1D96">
          <w:rPr>
            <w:webHidden/>
          </w:rPr>
          <w:t>24</w:t>
        </w:r>
        <w:r w:rsidR="009A1EF7" w:rsidRPr="00986BEB">
          <w:rPr>
            <w:webHidden/>
          </w:rPr>
          <w:fldChar w:fldCharType="end"/>
        </w:r>
      </w:hyperlink>
    </w:p>
    <w:p w14:paraId="3BAAC0DD" w14:textId="3249DFBC" w:rsidR="009A1EF7" w:rsidRPr="00986BEB" w:rsidRDefault="00D106C7">
      <w:pPr>
        <w:pStyle w:val="TOC2"/>
        <w:rPr>
          <w:rFonts w:asciiTheme="minorHAnsi" w:eastAsiaTheme="minorEastAsia" w:hAnsiTheme="minorHAnsi"/>
          <w:sz w:val="22"/>
          <w:szCs w:val="22"/>
          <w:lang w:val="fr-CA" w:eastAsia="fr-CA"/>
        </w:rPr>
      </w:pPr>
      <w:hyperlink w:anchor="_Toc132874730" w:history="1">
        <w:r w:rsidR="009A1EF7" w:rsidRPr="00986BEB">
          <w:rPr>
            <w:rStyle w:val="Hyperlink"/>
            <w:lang w:val="fr-CA"/>
          </w:rPr>
          <w:t>2.14</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supplémentaires – Canada</w:t>
        </w:r>
        <w:r w:rsidR="009A1EF7" w:rsidRPr="00986BEB">
          <w:rPr>
            <w:webHidden/>
          </w:rPr>
          <w:tab/>
        </w:r>
        <w:r w:rsidR="009A1EF7" w:rsidRPr="00986BEB">
          <w:rPr>
            <w:webHidden/>
          </w:rPr>
          <w:fldChar w:fldCharType="begin"/>
        </w:r>
        <w:r w:rsidR="009A1EF7" w:rsidRPr="00986BEB">
          <w:rPr>
            <w:webHidden/>
          </w:rPr>
          <w:instrText xml:space="preserve"> PAGEREF _Toc132874730 \h </w:instrText>
        </w:r>
        <w:r w:rsidR="009A1EF7" w:rsidRPr="00986BEB">
          <w:rPr>
            <w:webHidden/>
          </w:rPr>
        </w:r>
        <w:r w:rsidR="009A1EF7" w:rsidRPr="00986BEB">
          <w:rPr>
            <w:webHidden/>
          </w:rPr>
          <w:fldChar w:fldCharType="separate"/>
        </w:r>
        <w:r w:rsidR="00AE1D96">
          <w:rPr>
            <w:webHidden/>
          </w:rPr>
          <w:t>25</w:t>
        </w:r>
        <w:r w:rsidR="009A1EF7" w:rsidRPr="00986BEB">
          <w:rPr>
            <w:webHidden/>
          </w:rPr>
          <w:fldChar w:fldCharType="end"/>
        </w:r>
      </w:hyperlink>
    </w:p>
    <w:p w14:paraId="20B5B0A2" w14:textId="75FEFB34" w:rsidR="009A1EF7" w:rsidRPr="00986BEB" w:rsidRDefault="00D106C7">
      <w:pPr>
        <w:pStyle w:val="TOC2"/>
        <w:rPr>
          <w:rFonts w:asciiTheme="minorHAnsi" w:eastAsiaTheme="minorEastAsia" w:hAnsiTheme="minorHAnsi"/>
          <w:sz w:val="22"/>
          <w:szCs w:val="22"/>
          <w:lang w:val="fr-CA" w:eastAsia="fr-CA"/>
        </w:rPr>
      </w:pPr>
      <w:hyperlink w:anchor="_Toc132874731" w:history="1">
        <w:r w:rsidR="009A1EF7" w:rsidRPr="00986BEB">
          <w:rPr>
            <w:rStyle w:val="Hyperlink"/>
            <w:lang w:val="fr-CA"/>
          </w:rPr>
          <w:t>2.15</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supplémentaires – États-Unis</w:t>
        </w:r>
        <w:r w:rsidR="009A1EF7" w:rsidRPr="00986BEB">
          <w:rPr>
            <w:webHidden/>
          </w:rPr>
          <w:tab/>
        </w:r>
        <w:r w:rsidR="009A1EF7" w:rsidRPr="00986BEB">
          <w:rPr>
            <w:webHidden/>
          </w:rPr>
          <w:fldChar w:fldCharType="begin"/>
        </w:r>
        <w:r w:rsidR="009A1EF7" w:rsidRPr="00986BEB">
          <w:rPr>
            <w:webHidden/>
          </w:rPr>
          <w:instrText xml:space="preserve"> PAGEREF _Toc132874731 \h </w:instrText>
        </w:r>
        <w:r w:rsidR="009A1EF7" w:rsidRPr="00986BEB">
          <w:rPr>
            <w:webHidden/>
          </w:rPr>
        </w:r>
        <w:r w:rsidR="009A1EF7" w:rsidRPr="00986BEB">
          <w:rPr>
            <w:webHidden/>
          </w:rPr>
          <w:fldChar w:fldCharType="separate"/>
        </w:r>
        <w:r w:rsidR="00AE1D96">
          <w:rPr>
            <w:webHidden/>
          </w:rPr>
          <w:t>26</w:t>
        </w:r>
        <w:r w:rsidR="009A1EF7" w:rsidRPr="00986BEB">
          <w:rPr>
            <w:webHidden/>
          </w:rPr>
          <w:fldChar w:fldCharType="end"/>
        </w:r>
      </w:hyperlink>
    </w:p>
    <w:p w14:paraId="7546023A" w14:textId="303CA829" w:rsidR="009A1EF7" w:rsidRPr="00986BEB" w:rsidRDefault="00D106C7">
      <w:pPr>
        <w:pStyle w:val="TOC2"/>
        <w:rPr>
          <w:rFonts w:asciiTheme="minorHAnsi" w:eastAsiaTheme="minorEastAsia" w:hAnsiTheme="minorHAnsi"/>
          <w:sz w:val="22"/>
          <w:szCs w:val="22"/>
          <w:lang w:val="fr-CA" w:eastAsia="fr-CA"/>
        </w:rPr>
      </w:pPr>
      <w:hyperlink w:anchor="_Toc132874732" w:history="1">
        <w:r w:rsidR="009A1EF7" w:rsidRPr="00986BEB">
          <w:rPr>
            <w:rStyle w:val="Hyperlink"/>
            <w:lang w:val="fr-CA"/>
          </w:rPr>
          <w:t>2.16</w:t>
        </w:r>
        <w:r w:rsidR="009A1EF7" w:rsidRPr="00986BEB">
          <w:rPr>
            <w:rFonts w:asciiTheme="minorHAnsi" w:eastAsiaTheme="minorEastAsia" w:hAnsiTheme="minorHAnsi"/>
            <w:sz w:val="22"/>
            <w:szCs w:val="22"/>
            <w:lang w:val="fr-CA" w:eastAsia="fr-CA"/>
          </w:rPr>
          <w:tab/>
        </w:r>
        <w:r w:rsidR="009A1EF7" w:rsidRPr="00986BEB">
          <w:rPr>
            <w:rStyle w:val="Hyperlink"/>
            <w:lang w:val="fr-CA"/>
          </w:rPr>
          <w:t>Limitations territoriales.</w:t>
        </w:r>
        <w:r w:rsidR="009A1EF7" w:rsidRPr="00986BEB">
          <w:rPr>
            <w:webHidden/>
          </w:rPr>
          <w:tab/>
        </w:r>
        <w:r w:rsidR="009A1EF7" w:rsidRPr="00986BEB">
          <w:rPr>
            <w:webHidden/>
          </w:rPr>
          <w:fldChar w:fldCharType="begin"/>
        </w:r>
        <w:r w:rsidR="009A1EF7" w:rsidRPr="00986BEB">
          <w:rPr>
            <w:webHidden/>
          </w:rPr>
          <w:instrText xml:space="preserve"> PAGEREF _Toc132874732 \h </w:instrText>
        </w:r>
        <w:r w:rsidR="009A1EF7" w:rsidRPr="00986BEB">
          <w:rPr>
            <w:webHidden/>
          </w:rPr>
        </w:r>
        <w:r w:rsidR="009A1EF7" w:rsidRPr="00986BEB">
          <w:rPr>
            <w:webHidden/>
          </w:rPr>
          <w:fldChar w:fldCharType="separate"/>
        </w:r>
        <w:r w:rsidR="00AE1D96">
          <w:rPr>
            <w:webHidden/>
          </w:rPr>
          <w:t>27</w:t>
        </w:r>
        <w:r w:rsidR="009A1EF7" w:rsidRPr="00986BEB">
          <w:rPr>
            <w:webHidden/>
          </w:rPr>
          <w:fldChar w:fldCharType="end"/>
        </w:r>
      </w:hyperlink>
    </w:p>
    <w:p w14:paraId="19D060EF" w14:textId="410F5B9E" w:rsidR="009A1EF7" w:rsidRPr="00986BEB" w:rsidRDefault="00D106C7">
      <w:pPr>
        <w:pStyle w:val="TOC1"/>
        <w:rPr>
          <w:rFonts w:asciiTheme="minorHAnsi" w:eastAsiaTheme="minorEastAsia" w:hAnsiTheme="minorHAnsi"/>
          <w:sz w:val="22"/>
          <w:szCs w:val="22"/>
          <w:lang w:val="fr-CA" w:eastAsia="fr-CA"/>
        </w:rPr>
      </w:pPr>
      <w:hyperlink w:anchor="_Toc132874733" w:history="1">
        <w:r w:rsidR="009A1EF7" w:rsidRPr="00986BEB">
          <w:rPr>
            <w:rStyle w:val="Hyperlink"/>
            <w:lang w:val="fr-CA"/>
          </w:rPr>
          <w:t>3.</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à l’information et droits d’observateur</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_Toc132874733 \h </w:instrText>
        </w:r>
        <w:r w:rsidR="009A1EF7" w:rsidRPr="00986BEB">
          <w:rPr>
            <w:webHidden/>
          </w:rPr>
        </w:r>
        <w:r w:rsidR="009A1EF7" w:rsidRPr="00986BEB">
          <w:rPr>
            <w:webHidden/>
          </w:rPr>
          <w:fldChar w:fldCharType="separate"/>
        </w:r>
        <w:r w:rsidR="00AE1D96">
          <w:rPr>
            <w:webHidden/>
          </w:rPr>
          <w:t>28</w:t>
        </w:r>
        <w:r w:rsidR="009A1EF7" w:rsidRPr="00986BEB">
          <w:rPr>
            <w:webHidden/>
          </w:rPr>
          <w:fldChar w:fldCharType="end"/>
        </w:r>
      </w:hyperlink>
    </w:p>
    <w:p w14:paraId="6A238005" w14:textId="338E54BD" w:rsidR="009A1EF7" w:rsidRPr="00986BEB" w:rsidRDefault="00D106C7">
      <w:pPr>
        <w:pStyle w:val="TOC2"/>
        <w:rPr>
          <w:rFonts w:asciiTheme="minorHAnsi" w:eastAsiaTheme="minorEastAsia" w:hAnsiTheme="minorHAnsi"/>
          <w:sz w:val="22"/>
          <w:szCs w:val="22"/>
          <w:lang w:val="fr-CA" w:eastAsia="fr-CA"/>
        </w:rPr>
      </w:pPr>
      <w:hyperlink w:anchor="_Toc132874734" w:history="1">
        <w:r w:rsidR="009A1EF7" w:rsidRPr="00986BEB">
          <w:rPr>
            <w:rStyle w:val="Hyperlink"/>
            <w:lang w:val="fr-CA"/>
          </w:rPr>
          <w:t>3.1</w:t>
        </w:r>
        <w:r w:rsidR="009A1EF7" w:rsidRPr="00986BEB">
          <w:rPr>
            <w:rFonts w:asciiTheme="minorHAnsi" w:eastAsiaTheme="minorEastAsia" w:hAnsiTheme="minorHAnsi"/>
            <w:sz w:val="22"/>
            <w:szCs w:val="22"/>
            <w:lang w:val="fr-CA" w:eastAsia="fr-CA"/>
          </w:rPr>
          <w:tab/>
        </w:r>
        <w:r w:rsidR="009A1EF7" w:rsidRPr="00986BEB">
          <w:rPr>
            <w:rStyle w:val="Hyperlink"/>
            <w:lang w:val="fr-CA"/>
          </w:rPr>
          <w:t>Présentation des états financiers.</w:t>
        </w:r>
        <w:r w:rsidR="009A1EF7" w:rsidRPr="00986BEB">
          <w:rPr>
            <w:webHidden/>
          </w:rPr>
          <w:tab/>
        </w:r>
        <w:r w:rsidR="009A1EF7" w:rsidRPr="00986BEB">
          <w:rPr>
            <w:webHidden/>
          </w:rPr>
          <w:fldChar w:fldCharType="begin"/>
        </w:r>
        <w:r w:rsidR="009A1EF7" w:rsidRPr="00986BEB">
          <w:rPr>
            <w:webHidden/>
          </w:rPr>
          <w:instrText xml:space="preserve"> PAGEREF _Toc132874734 \h </w:instrText>
        </w:r>
        <w:r w:rsidR="009A1EF7" w:rsidRPr="00986BEB">
          <w:rPr>
            <w:webHidden/>
          </w:rPr>
        </w:r>
        <w:r w:rsidR="009A1EF7" w:rsidRPr="00986BEB">
          <w:rPr>
            <w:webHidden/>
          </w:rPr>
          <w:fldChar w:fldCharType="separate"/>
        </w:r>
        <w:r w:rsidR="00AE1D96">
          <w:rPr>
            <w:webHidden/>
          </w:rPr>
          <w:t>28</w:t>
        </w:r>
        <w:r w:rsidR="009A1EF7" w:rsidRPr="00986BEB">
          <w:rPr>
            <w:webHidden/>
          </w:rPr>
          <w:fldChar w:fldCharType="end"/>
        </w:r>
      </w:hyperlink>
    </w:p>
    <w:p w14:paraId="6EF33FCB" w14:textId="4EE2A15F" w:rsidR="009A1EF7" w:rsidRPr="00986BEB" w:rsidRDefault="00D106C7">
      <w:pPr>
        <w:pStyle w:val="TOC2"/>
        <w:rPr>
          <w:rFonts w:asciiTheme="minorHAnsi" w:eastAsiaTheme="minorEastAsia" w:hAnsiTheme="minorHAnsi"/>
          <w:sz w:val="22"/>
          <w:szCs w:val="22"/>
          <w:lang w:val="fr-CA" w:eastAsia="fr-CA"/>
        </w:rPr>
      </w:pPr>
      <w:hyperlink w:anchor="_Toc132874735" w:history="1">
        <w:r w:rsidR="009A1EF7" w:rsidRPr="00986BEB">
          <w:rPr>
            <w:rStyle w:val="Hyperlink"/>
            <w:lang w:val="fr-CA"/>
          </w:rPr>
          <w:t>3.2</w:t>
        </w:r>
        <w:r w:rsidR="009A1EF7" w:rsidRPr="00986BEB">
          <w:rPr>
            <w:rFonts w:asciiTheme="minorHAnsi" w:eastAsiaTheme="minorEastAsia" w:hAnsiTheme="minorHAnsi"/>
            <w:sz w:val="22"/>
            <w:szCs w:val="22"/>
            <w:lang w:val="fr-CA" w:eastAsia="fr-CA"/>
          </w:rPr>
          <w:tab/>
        </w:r>
        <w:r w:rsidR="009A1EF7" w:rsidRPr="00986BEB">
          <w:rPr>
            <w:rStyle w:val="Hyperlink"/>
            <w:lang w:val="fr-CA"/>
          </w:rPr>
          <w:t>Inspection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_Toc132874735 \h </w:instrText>
        </w:r>
        <w:r w:rsidR="009A1EF7" w:rsidRPr="00986BEB">
          <w:rPr>
            <w:webHidden/>
          </w:rPr>
        </w:r>
        <w:r w:rsidR="009A1EF7" w:rsidRPr="00986BEB">
          <w:rPr>
            <w:webHidden/>
          </w:rPr>
          <w:fldChar w:fldCharType="separate"/>
        </w:r>
        <w:r w:rsidR="00AE1D96">
          <w:rPr>
            <w:webHidden/>
          </w:rPr>
          <w:t>30</w:t>
        </w:r>
        <w:r w:rsidR="009A1EF7" w:rsidRPr="00986BEB">
          <w:rPr>
            <w:webHidden/>
          </w:rPr>
          <w:fldChar w:fldCharType="end"/>
        </w:r>
      </w:hyperlink>
    </w:p>
    <w:p w14:paraId="04E331E1" w14:textId="5A9AE300" w:rsidR="009A1EF7" w:rsidRPr="00986BEB" w:rsidRDefault="00D106C7">
      <w:pPr>
        <w:pStyle w:val="TOC2"/>
        <w:rPr>
          <w:rFonts w:asciiTheme="minorHAnsi" w:eastAsiaTheme="minorEastAsia" w:hAnsiTheme="minorHAnsi"/>
          <w:sz w:val="22"/>
          <w:szCs w:val="22"/>
          <w:lang w:val="fr-CA" w:eastAsia="fr-CA"/>
        </w:rPr>
      </w:pPr>
      <w:hyperlink w:anchor="_Toc132874736" w:history="1">
        <w:r w:rsidR="009A1EF7" w:rsidRPr="00986BEB">
          <w:rPr>
            <w:rStyle w:val="Hyperlink"/>
            <w:lang w:val="fr-CA"/>
          </w:rPr>
          <w:t>3.3</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d’observateur</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_Toc132874736 \h </w:instrText>
        </w:r>
        <w:r w:rsidR="009A1EF7" w:rsidRPr="00986BEB">
          <w:rPr>
            <w:webHidden/>
          </w:rPr>
        </w:r>
        <w:r w:rsidR="009A1EF7" w:rsidRPr="00986BEB">
          <w:rPr>
            <w:webHidden/>
          </w:rPr>
          <w:fldChar w:fldCharType="separate"/>
        </w:r>
        <w:r w:rsidR="00AE1D96">
          <w:rPr>
            <w:webHidden/>
          </w:rPr>
          <w:t>30</w:t>
        </w:r>
        <w:r w:rsidR="009A1EF7" w:rsidRPr="00986BEB">
          <w:rPr>
            <w:webHidden/>
          </w:rPr>
          <w:fldChar w:fldCharType="end"/>
        </w:r>
      </w:hyperlink>
    </w:p>
    <w:p w14:paraId="1AFD4435" w14:textId="3579E927" w:rsidR="009A1EF7" w:rsidRPr="00986BEB" w:rsidRDefault="00D106C7">
      <w:pPr>
        <w:pStyle w:val="TOC2"/>
        <w:rPr>
          <w:rFonts w:asciiTheme="minorHAnsi" w:eastAsiaTheme="minorEastAsia" w:hAnsiTheme="minorHAnsi"/>
          <w:sz w:val="22"/>
          <w:szCs w:val="22"/>
          <w:lang w:val="fr-CA" w:eastAsia="fr-CA"/>
        </w:rPr>
      </w:pPr>
      <w:hyperlink w:anchor="_Toc132874737" w:history="1">
        <w:r w:rsidR="009A1EF7" w:rsidRPr="00986BEB">
          <w:rPr>
            <w:rStyle w:val="Hyperlink"/>
            <w:lang w:val="fr-CA"/>
          </w:rPr>
          <w:t>3.4</w:t>
        </w:r>
        <w:r w:rsidR="009A1EF7" w:rsidRPr="00986BEB">
          <w:rPr>
            <w:rFonts w:asciiTheme="minorHAnsi" w:eastAsiaTheme="minorEastAsia" w:hAnsiTheme="minorHAnsi"/>
            <w:sz w:val="22"/>
            <w:szCs w:val="22"/>
            <w:lang w:val="fr-CA" w:eastAsia="fr-CA"/>
          </w:rPr>
          <w:tab/>
        </w:r>
        <w:r w:rsidR="009A1EF7" w:rsidRPr="00986BEB">
          <w:rPr>
            <w:rStyle w:val="Hyperlink"/>
            <w:lang w:val="fr-CA"/>
          </w:rPr>
          <w:t>Extinction des droits à l’information [et des droits d’observateur]</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_Toc132874737 \h </w:instrText>
        </w:r>
        <w:r w:rsidR="009A1EF7" w:rsidRPr="00986BEB">
          <w:rPr>
            <w:webHidden/>
          </w:rPr>
        </w:r>
        <w:r w:rsidR="009A1EF7" w:rsidRPr="00986BEB">
          <w:rPr>
            <w:webHidden/>
          </w:rPr>
          <w:fldChar w:fldCharType="separate"/>
        </w:r>
        <w:r w:rsidR="00AE1D96">
          <w:rPr>
            <w:webHidden/>
          </w:rPr>
          <w:t>31</w:t>
        </w:r>
        <w:r w:rsidR="009A1EF7" w:rsidRPr="00986BEB">
          <w:rPr>
            <w:webHidden/>
          </w:rPr>
          <w:fldChar w:fldCharType="end"/>
        </w:r>
      </w:hyperlink>
    </w:p>
    <w:p w14:paraId="012E52F7" w14:textId="09B0AB0C" w:rsidR="009A1EF7" w:rsidRPr="00986BEB" w:rsidRDefault="00D106C7">
      <w:pPr>
        <w:pStyle w:val="TOC2"/>
        <w:rPr>
          <w:rFonts w:asciiTheme="minorHAnsi" w:eastAsiaTheme="minorEastAsia" w:hAnsiTheme="minorHAnsi"/>
          <w:sz w:val="22"/>
          <w:szCs w:val="22"/>
          <w:lang w:val="fr-CA" w:eastAsia="fr-CA"/>
        </w:rPr>
      </w:pPr>
      <w:hyperlink w:anchor="_Toc132874738" w:history="1">
        <w:r w:rsidR="009A1EF7" w:rsidRPr="00986BEB">
          <w:rPr>
            <w:rStyle w:val="Hyperlink"/>
            <w:lang w:val="fr-CA"/>
          </w:rPr>
          <w:t>3.5</w:t>
        </w:r>
        <w:r w:rsidR="009A1EF7" w:rsidRPr="00986BEB">
          <w:rPr>
            <w:rFonts w:asciiTheme="minorHAnsi" w:eastAsiaTheme="minorEastAsia" w:hAnsiTheme="minorHAnsi"/>
            <w:sz w:val="22"/>
            <w:szCs w:val="22"/>
            <w:lang w:val="fr-CA" w:eastAsia="fr-CA"/>
          </w:rPr>
          <w:tab/>
        </w:r>
        <w:r w:rsidR="009A1EF7" w:rsidRPr="00986BEB">
          <w:rPr>
            <w:rStyle w:val="Hyperlink"/>
            <w:lang w:val="fr-CA"/>
          </w:rPr>
          <w:t>Confidentialité</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_Toc132874738 \h </w:instrText>
        </w:r>
        <w:r w:rsidR="009A1EF7" w:rsidRPr="00986BEB">
          <w:rPr>
            <w:webHidden/>
          </w:rPr>
        </w:r>
        <w:r w:rsidR="009A1EF7" w:rsidRPr="00986BEB">
          <w:rPr>
            <w:webHidden/>
          </w:rPr>
          <w:fldChar w:fldCharType="separate"/>
        </w:r>
        <w:r w:rsidR="00AE1D96">
          <w:rPr>
            <w:webHidden/>
          </w:rPr>
          <w:t>31</w:t>
        </w:r>
        <w:r w:rsidR="009A1EF7" w:rsidRPr="00986BEB">
          <w:rPr>
            <w:webHidden/>
          </w:rPr>
          <w:fldChar w:fldCharType="end"/>
        </w:r>
      </w:hyperlink>
    </w:p>
    <w:p w14:paraId="69317990" w14:textId="3490F14E" w:rsidR="009A1EF7" w:rsidRPr="00986BEB" w:rsidRDefault="00D106C7">
      <w:pPr>
        <w:pStyle w:val="TOC2"/>
        <w:rPr>
          <w:rFonts w:asciiTheme="minorHAnsi" w:eastAsiaTheme="minorEastAsia" w:hAnsiTheme="minorHAnsi"/>
          <w:sz w:val="22"/>
          <w:szCs w:val="22"/>
          <w:lang w:val="fr-CA" w:eastAsia="fr-CA"/>
        </w:rPr>
      </w:pPr>
      <w:hyperlink w:anchor="_Toc132874739" w:history="1">
        <w:r w:rsidR="009A1EF7" w:rsidRPr="00986BEB">
          <w:rPr>
            <w:rStyle w:val="Hyperlink"/>
            <w:lang w:val="fr-CA"/>
          </w:rPr>
          <w:t>3.6</w:t>
        </w:r>
        <w:r w:rsidR="009A1EF7" w:rsidRPr="00986BEB">
          <w:rPr>
            <w:rFonts w:asciiTheme="minorHAnsi" w:eastAsiaTheme="minorEastAsia" w:hAnsiTheme="minorHAnsi"/>
            <w:sz w:val="22"/>
            <w:szCs w:val="22"/>
            <w:lang w:val="fr-CA" w:eastAsia="fr-CA"/>
          </w:rPr>
          <w:tab/>
        </w:r>
        <w:r w:rsidR="009A1EF7" w:rsidRPr="00986BEB">
          <w:rPr>
            <w:rStyle w:val="Hyperlink"/>
            <w:lang w:val="fr-CA"/>
          </w:rPr>
          <w:t>Renonciation aux droits à l’information prévus par la loi</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_Toc132874739 \h </w:instrText>
        </w:r>
        <w:r w:rsidR="009A1EF7" w:rsidRPr="00986BEB">
          <w:rPr>
            <w:webHidden/>
          </w:rPr>
        </w:r>
        <w:r w:rsidR="009A1EF7" w:rsidRPr="00986BEB">
          <w:rPr>
            <w:webHidden/>
          </w:rPr>
          <w:fldChar w:fldCharType="separate"/>
        </w:r>
        <w:r w:rsidR="00AE1D96">
          <w:rPr>
            <w:webHidden/>
          </w:rPr>
          <w:t>32</w:t>
        </w:r>
        <w:r w:rsidR="009A1EF7" w:rsidRPr="00986BEB">
          <w:rPr>
            <w:webHidden/>
          </w:rPr>
          <w:fldChar w:fldCharType="end"/>
        </w:r>
      </w:hyperlink>
    </w:p>
    <w:p w14:paraId="2A116D1F" w14:textId="2B90696A" w:rsidR="009A1EF7" w:rsidRPr="00986BEB" w:rsidRDefault="00D106C7">
      <w:pPr>
        <w:pStyle w:val="TOC1"/>
        <w:rPr>
          <w:rFonts w:asciiTheme="minorHAnsi" w:eastAsiaTheme="minorEastAsia" w:hAnsiTheme="minorHAnsi"/>
          <w:sz w:val="22"/>
          <w:szCs w:val="22"/>
          <w:lang w:val="fr-CA" w:eastAsia="fr-CA"/>
        </w:rPr>
      </w:pPr>
      <w:hyperlink w:anchor="_Toc132874740" w:history="1">
        <w:r w:rsidR="009A1EF7" w:rsidRPr="00986BEB">
          <w:rPr>
            <w:rStyle w:val="Hyperlink"/>
            <w:lang w:val="fr-CA"/>
          </w:rPr>
          <w:t>4.</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Droits aux émissions d’actions futures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_Toc132874740 \h </w:instrText>
        </w:r>
        <w:r w:rsidR="009A1EF7" w:rsidRPr="00986BEB">
          <w:rPr>
            <w:webHidden/>
          </w:rPr>
        </w:r>
        <w:r w:rsidR="009A1EF7" w:rsidRPr="00986BEB">
          <w:rPr>
            <w:webHidden/>
          </w:rPr>
          <w:fldChar w:fldCharType="separate"/>
        </w:r>
        <w:r w:rsidR="00AE1D96">
          <w:rPr>
            <w:webHidden/>
          </w:rPr>
          <w:t>32</w:t>
        </w:r>
        <w:r w:rsidR="009A1EF7" w:rsidRPr="00986BEB">
          <w:rPr>
            <w:webHidden/>
          </w:rPr>
          <w:fldChar w:fldCharType="end"/>
        </w:r>
      </w:hyperlink>
    </w:p>
    <w:p w14:paraId="7993FB1A" w14:textId="5CF037D4" w:rsidR="009A1EF7" w:rsidRPr="00986BEB" w:rsidRDefault="00D106C7">
      <w:pPr>
        <w:pStyle w:val="TOC2"/>
        <w:rPr>
          <w:rFonts w:asciiTheme="minorHAnsi" w:eastAsiaTheme="minorEastAsia" w:hAnsiTheme="minorHAnsi"/>
          <w:sz w:val="22"/>
          <w:szCs w:val="22"/>
          <w:lang w:val="fr-CA" w:eastAsia="fr-CA"/>
        </w:rPr>
      </w:pPr>
      <w:hyperlink w:anchor="_Toc132874741" w:history="1">
        <w:r w:rsidR="009A1EF7" w:rsidRPr="00986BEB">
          <w:rPr>
            <w:rStyle w:val="Hyperlink"/>
            <w:lang w:val="fr-CA"/>
          </w:rPr>
          <w:t>4.1</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 de première offre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_Toc132874741 \h </w:instrText>
        </w:r>
        <w:r w:rsidR="009A1EF7" w:rsidRPr="00986BEB">
          <w:rPr>
            <w:webHidden/>
          </w:rPr>
        </w:r>
        <w:r w:rsidR="009A1EF7" w:rsidRPr="00986BEB">
          <w:rPr>
            <w:webHidden/>
          </w:rPr>
          <w:fldChar w:fldCharType="separate"/>
        </w:r>
        <w:r w:rsidR="00AE1D96">
          <w:rPr>
            <w:webHidden/>
          </w:rPr>
          <w:t>32</w:t>
        </w:r>
        <w:r w:rsidR="009A1EF7" w:rsidRPr="00986BEB">
          <w:rPr>
            <w:webHidden/>
          </w:rPr>
          <w:fldChar w:fldCharType="end"/>
        </w:r>
      </w:hyperlink>
    </w:p>
    <w:p w14:paraId="3D15012B" w14:textId="753B0AA6" w:rsidR="009A1EF7" w:rsidRPr="00986BEB" w:rsidRDefault="00D106C7">
      <w:pPr>
        <w:pStyle w:val="TOC2"/>
        <w:rPr>
          <w:rFonts w:asciiTheme="minorHAnsi" w:eastAsiaTheme="minorEastAsia" w:hAnsiTheme="minorHAnsi"/>
          <w:sz w:val="22"/>
          <w:szCs w:val="22"/>
          <w:lang w:val="fr-CA" w:eastAsia="fr-CA"/>
        </w:rPr>
      </w:pPr>
      <w:hyperlink w:anchor="_Toc132874742" w:history="1">
        <w:r w:rsidR="009A1EF7" w:rsidRPr="00986BEB">
          <w:rPr>
            <w:rStyle w:val="Hyperlink"/>
            <w:lang w:val="fr-CA"/>
          </w:rPr>
          <w:t>4.2</w:t>
        </w:r>
        <w:r w:rsidR="009A1EF7" w:rsidRPr="00986BEB">
          <w:rPr>
            <w:rFonts w:asciiTheme="minorHAnsi" w:eastAsiaTheme="minorEastAsia" w:hAnsiTheme="minorHAnsi"/>
            <w:sz w:val="22"/>
            <w:szCs w:val="22"/>
            <w:lang w:val="fr-CA" w:eastAsia="fr-CA"/>
          </w:rPr>
          <w:tab/>
        </w:r>
        <w:r w:rsidR="009A1EF7" w:rsidRPr="00986BEB">
          <w:rPr>
            <w:rStyle w:val="Hyperlink"/>
            <w:lang w:val="fr-CA"/>
          </w:rPr>
          <w:t>Extinction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_Toc132874742 \h </w:instrText>
        </w:r>
        <w:r w:rsidR="009A1EF7" w:rsidRPr="00986BEB">
          <w:rPr>
            <w:webHidden/>
          </w:rPr>
        </w:r>
        <w:r w:rsidR="009A1EF7" w:rsidRPr="00986BEB">
          <w:rPr>
            <w:webHidden/>
          </w:rPr>
          <w:fldChar w:fldCharType="separate"/>
        </w:r>
        <w:r w:rsidR="00AE1D96">
          <w:rPr>
            <w:webHidden/>
          </w:rPr>
          <w:t>35</w:t>
        </w:r>
        <w:r w:rsidR="009A1EF7" w:rsidRPr="00986BEB">
          <w:rPr>
            <w:webHidden/>
          </w:rPr>
          <w:fldChar w:fldCharType="end"/>
        </w:r>
      </w:hyperlink>
    </w:p>
    <w:p w14:paraId="69DA97AD" w14:textId="2D333A52" w:rsidR="009A1EF7" w:rsidRPr="00986BEB" w:rsidRDefault="00D106C7">
      <w:pPr>
        <w:pStyle w:val="TOC1"/>
        <w:rPr>
          <w:rFonts w:asciiTheme="minorHAnsi" w:eastAsiaTheme="minorEastAsia" w:hAnsiTheme="minorHAnsi"/>
          <w:sz w:val="22"/>
          <w:szCs w:val="22"/>
          <w:lang w:val="fr-CA" w:eastAsia="fr-CA"/>
        </w:rPr>
      </w:pPr>
      <w:hyperlink w:anchor="_Toc132874743" w:history="1">
        <w:r w:rsidR="009A1EF7" w:rsidRPr="00986BEB">
          <w:rPr>
            <w:rStyle w:val="Hyperlink"/>
            <w:lang w:val="fr-CA"/>
          </w:rPr>
          <w:t>5.</w:t>
        </w:r>
        <w:r w:rsidR="009A1EF7" w:rsidRPr="00986BEB">
          <w:rPr>
            <w:rFonts w:asciiTheme="minorHAnsi" w:eastAsiaTheme="minorEastAsia" w:hAnsiTheme="minorHAnsi"/>
            <w:sz w:val="22"/>
            <w:szCs w:val="22"/>
            <w:lang w:val="fr-CA" w:eastAsia="fr-CA"/>
          </w:rPr>
          <w:tab/>
        </w:r>
        <w:r w:rsidR="009A1EF7" w:rsidRPr="00986BEB">
          <w:rPr>
            <w:rStyle w:val="Hyperlink"/>
            <w:lang w:val="fr-CA"/>
          </w:rPr>
          <w:t>Engagements supplémentaires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_Toc132874743 \h </w:instrText>
        </w:r>
        <w:r w:rsidR="009A1EF7" w:rsidRPr="00986BEB">
          <w:rPr>
            <w:webHidden/>
          </w:rPr>
        </w:r>
        <w:r w:rsidR="009A1EF7" w:rsidRPr="00986BEB">
          <w:rPr>
            <w:webHidden/>
          </w:rPr>
          <w:fldChar w:fldCharType="separate"/>
        </w:r>
        <w:r w:rsidR="00AE1D96">
          <w:rPr>
            <w:webHidden/>
          </w:rPr>
          <w:t>35</w:t>
        </w:r>
        <w:r w:rsidR="009A1EF7" w:rsidRPr="00986BEB">
          <w:rPr>
            <w:webHidden/>
          </w:rPr>
          <w:fldChar w:fldCharType="end"/>
        </w:r>
      </w:hyperlink>
    </w:p>
    <w:p w14:paraId="01F9A583" w14:textId="3FD45D94" w:rsidR="009A1EF7" w:rsidRPr="00986BEB" w:rsidRDefault="00D106C7">
      <w:pPr>
        <w:pStyle w:val="TOC2"/>
        <w:rPr>
          <w:rFonts w:asciiTheme="minorHAnsi" w:eastAsiaTheme="minorEastAsia" w:hAnsiTheme="minorHAnsi"/>
          <w:sz w:val="22"/>
          <w:szCs w:val="22"/>
          <w:lang w:val="fr-CA" w:eastAsia="fr-CA"/>
        </w:rPr>
      </w:pPr>
      <w:hyperlink w:anchor="_Toc132874744" w:history="1">
        <w:r w:rsidR="009A1EF7" w:rsidRPr="00986BEB">
          <w:rPr>
            <w:rStyle w:val="Hyperlink"/>
            <w:lang w:val="fr-CA"/>
          </w:rPr>
          <w:t>5.1</w:t>
        </w:r>
        <w:r w:rsidR="009A1EF7" w:rsidRPr="00986BEB">
          <w:rPr>
            <w:rFonts w:asciiTheme="minorHAnsi" w:eastAsiaTheme="minorEastAsia" w:hAnsiTheme="minorHAnsi"/>
            <w:sz w:val="22"/>
            <w:szCs w:val="22"/>
            <w:lang w:val="fr-CA" w:eastAsia="fr-CA"/>
          </w:rPr>
          <w:tab/>
        </w:r>
        <w:r w:rsidR="009A1EF7" w:rsidRPr="00986BEB">
          <w:rPr>
            <w:rStyle w:val="Hyperlink"/>
            <w:lang w:val="fr-CA"/>
          </w:rPr>
          <w:t>Assurance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_Toc132874744 \h </w:instrText>
        </w:r>
        <w:r w:rsidR="009A1EF7" w:rsidRPr="00986BEB">
          <w:rPr>
            <w:webHidden/>
          </w:rPr>
        </w:r>
        <w:r w:rsidR="009A1EF7" w:rsidRPr="00986BEB">
          <w:rPr>
            <w:webHidden/>
          </w:rPr>
          <w:fldChar w:fldCharType="separate"/>
        </w:r>
        <w:r w:rsidR="00AE1D96">
          <w:rPr>
            <w:webHidden/>
          </w:rPr>
          <w:t>35</w:t>
        </w:r>
        <w:r w:rsidR="009A1EF7" w:rsidRPr="00986BEB">
          <w:rPr>
            <w:webHidden/>
          </w:rPr>
          <w:fldChar w:fldCharType="end"/>
        </w:r>
      </w:hyperlink>
    </w:p>
    <w:p w14:paraId="614F4803" w14:textId="74954D3C" w:rsidR="009A1EF7" w:rsidRPr="00986BEB" w:rsidRDefault="00D106C7">
      <w:pPr>
        <w:pStyle w:val="TOC2"/>
        <w:rPr>
          <w:rFonts w:asciiTheme="minorHAnsi" w:eastAsiaTheme="minorEastAsia" w:hAnsiTheme="minorHAnsi"/>
          <w:sz w:val="22"/>
          <w:szCs w:val="22"/>
          <w:lang w:val="fr-CA" w:eastAsia="fr-CA"/>
        </w:rPr>
      </w:pPr>
      <w:hyperlink w:anchor="_Toc132874745" w:history="1">
        <w:r w:rsidR="009A1EF7" w:rsidRPr="00986BEB">
          <w:rPr>
            <w:rStyle w:val="Hyperlink"/>
            <w:lang w:val="fr-CA"/>
          </w:rPr>
          <w:t>5.2</w:t>
        </w:r>
        <w:r w:rsidR="009A1EF7" w:rsidRPr="00986BEB">
          <w:rPr>
            <w:rFonts w:asciiTheme="minorHAnsi" w:eastAsiaTheme="minorEastAsia" w:hAnsiTheme="minorHAnsi"/>
            <w:sz w:val="22"/>
            <w:szCs w:val="22"/>
            <w:lang w:val="fr-CA" w:eastAsia="fr-CA"/>
          </w:rPr>
          <w:tab/>
        </w:r>
        <w:r w:rsidR="009A1EF7" w:rsidRPr="00986BEB">
          <w:rPr>
            <w:rStyle w:val="Hyperlink"/>
            <w:lang w:val="fr-CA"/>
          </w:rPr>
          <w:t>Ententes conclues avec les employés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_Toc132874745 \h </w:instrText>
        </w:r>
        <w:r w:rsidR="009A1EF7" w:rsidRPr="00986BEB">
          <w:rPr>
            <w:webHidden/>
          </w:rPr>
        </w:r>
        <w:r w:rsidR="009A1EF7" w:rsidRPr="00986BEB">
          <w:rPr>
            <w:webHidden/>
          </w:rPr>
          <w:fldChar w:fldCharType="separate"/>
        </w:r>
        <w:r w:rsidR="00AE1D96">
          <w:rPr>
            <w:webHidden/>
          </w:rPr>
          <w:t>36</w:t>
        </w:r>
        <w:r w:rsidR="009A1EF7" w:rsidRPr="00986BEB">
          <w:rPr>
            <w:webHidden/>
          </w:rPr>
          <w:fldChar w:fldCharType="end"/>
        </w:r>
      </w:hyperlink>
    </w:p>
    <w:p w14:paraId="398A887D" w14:textId="6A551DD1" w:rsidR="009A1EF7" w:rsidRPr="00986BEB" w:rsidRDefault="00D106C7">
      <w:pPr>
        <w:pStyle w:val="TOC2"/>
        <w:rPr>
          <w:rFonts w:asciiTheme="minorHAnsi" w:eastAsiaTheme="minorEastAsia" w:hAnsiTheme="minorHAnsi"/>
          <w:sz w:val="22"/>
          <w:szCs w:val="22"/>
          <w:lang w:val="fr-CA" w:eastAsia="fr-CA"/>
        </w:rPr>
      </w:pPr>
      <w:hyperlink w:anchor="_Toc132874746" w:history="1">
        <w:r w:rsidR="009A1EF7" w:rsidRPr="00986BEB">
          <w:rPr>
            <w:rStyle w:val="Hyperlink"/>
            <w:lang w:val="fr-CA"/>
          </w:rPr>
          <w:t>5.3</w:t>
        </w:r>
        <w:r w:rsidR="009A1EF7" w:rsidRPr="00986BEB">
          <w:rPr>
            <w:rFonts w:asciiTheme="minorHAnsi" w:eastAsiaTheme="minorEastAsia" w:hAnsiTheme="minorHAnsi"/>
            <w:sz w:val="22"/>
            <w:szCs w:val="22"/>
            <w:lang w:val="fr-CA" w:eastAsia="fr-CA"/>
          </w:rPr>
          <w:tab/>
        </w:r>
        <w:r w:rsidR="009A1EF7" w:rsidRPr="00986BEB">
          <w:rPr>
            <w:rStyle w:val="Hyperlink"/>
            <w:lang w:val="fr-CA"/>
          </w:rPr>
          <w:t>Actions des employés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_Toc132874746 \h </w:instrText>
        </w:r>
        <w:r w:rsidR="009A1EF7" w:rsidRPr="00986BEB">
          <w:rPr>
            <w:webHidden/>
          </w:rPr>
        </w:r>
        <w:r w:rsidR="009A1EF7" w:rsidRPr="00986BEB">
          <w:rPr>
            <w:webHidden/>
          </w:rPr>
          <w:fldChar w:fldCharType="separate"/>
        </w:r>
        <w:r w:rsidR="00AE1D96">
          <w:rPr>
            <w:webHidden/>
          </w:rPr>
          <w:t>36</w:t>
        </w:r>
        <w:r w:rsidR="009A1EF7" w:rsidRPr="00986BEB">
          <w:rPr>
            <w:webHidden/>
          </w:rPr>
          <w:fldChar w:fldCharType="end"/>
        </w:r>
      </w:hyperlink>
    </w:p>
    <w:p w14:paraId="12A2F563" w14:textId="00D71DBB" w:rsidR="009A1EF7" w:rsidRPr="00986BEB" w:rsidRDefault="00D106C7">
      <w:pPr>
        <w:pStyle w:val="TOC2"/>
        <w:rPr>
          <w:rFonts w:asciiTheme="minorHAnsi" w:eastAsiaTheme="minorEastAsia" w:hAnsiTheme="minorHAnsi"/>
          <w:sz w:val="22"/>
          <w:szCs w:val="22"/>
          <w:lang w:val="fr-CA" w:eastAsia="fr-CA"/>
        </w:rPr>
      </w:pPr>
      <w:hyperlink w:anchor="_Toc132874747" w:history="1">
        <w:r w:rsidR="009A1EF7" w:rsidRPr="00986BEB">
          <w:rPr>
            <w:rStyle w:val="Hyperlink"/>
            <w:lang w:val="fr-CA"/>
          </w:rPr>
          <w:t>5.4</w:t>
        </w:r>
        <w:r w:rsidR="009A1EF7" w:rsidRPr="00986BEB">
          <w:rPr>
            <w:rFonts w:asciiTheme="minorHAnsi" w:eastAsiaTheme="minorEastAsia" w:hAnsiTheme="minorHAnsi"/>
            <w:sz w:val="22"/>
            <w:szCs w:val="22"/>
            <w:lang w:val="fr-CA" w:eastAsia="fr-CA"/>
          </w:rPr>
          <w:tab/>
        </w:r>
        <w:r w:rsidR="009A1EF7" w:rsidRPr="00986BEB">
          <w:rPr>
            <w:rStyle w:val="Hyperlink"/>
            <w:lang w:val="fr-CA"/>
          </w:rPr>
          <w:t>Questions nécessitant l’approbation des Administrateurs privilégiés.</w:t>
        </w:r>
        <w:r w:rsidR="009A1EF7" w:rsidRPr="00986BEB">
          <w:rPr>
            <w:webHidden/>
          </w:rPr>
          <w:tab/>
        </w:r>
        <w:r w:rsidR="009A1EF7" w:rsidRPr="00986BEB">
          <w:rPr>
            <w:webHidden/>
          </w:rPr>
          <w:fldChar w:fldCharType="begin"/>
        </w:r>
        <w:r w:rsidR="009A1EF7" w:rsidRPr="00986BEB">
          <w:rPr>
            <w:webHidden/>
          </w:rPr>
          <w:instrText xml:space="preserve"> PAGEREF _Toc132874747 \h </w:instrText>
        </w:r>
        <w:r w:rsidR="009A1EF7" w:rsidRPr="00986BEB">
          <w:rPr>
            <w:webHidden/>
          </w:rPr>
        </w:r>
        <w:r w:rsidR="009A1EF7" w:rsidRPr="00986BEB">
          <w:rPr>
            <w:webHidden/>
          </w:rPr>
          <w:fldChar w:fldCharType="separate"/>
        </w:r>
        <w:r w:rsidR="00AE1D96">
          <w:rPr>
            <w:webHidden/>
          </w:rPr>
          <w:t>37</w:t>
        </w:r>
        <w:r w:rsidR="009A1EF7" w:rsidRPr="00986BEB">
          <w:rPr>
            <w:webHidden/>
          </w:rPr>
          <w:fldChar w:fldCharType="end"/>
        </w:r>
      </w:hyperlink>
    </w:p>
    <w:p w14:paraId="10AC7F81" w14:textId="1F4AF7BA" w:rsidR="009A1EF7" w:rsidRPr="00986BEB" w:rsidRDefault="00D106C7">
      <w:pPr>
        <w:pStyle w:val="TOC2"/>
        <w:rPr>
          <w:rFonts w:asciiTheme="minorHAnsi" w:eastAsiaTheme="minorEastAsia" w:hAnsiTheme="minorHAnsi"/>
          <w:sz w:val="22"/>
          <w:szCs w:val="22"/>
          <w:lang w:val="fr-CA" w:eastAsia="fr-CA"/>
        </w:rPr>
      </w:pPr>
      <w:hyperlink w:anchor="_Toc132874748" w:history="1">
        <w:r w:rsidR="009A1EF7" w:rsidRPr="00986BEB">
          <w:rPr>
            <w:rStyle w:val="Hyperlink"/>
            <w:lang w:val="fr-CA"/>
          </w:rPr>
          <w:t>5.5</w:t>
        </w:r>
        <w:r w:rsidR="009A1EF7" w:rsidRPr="00986BEB">
          <w:rPr>
            <w:rFonts w:asciiTheme="minorHAnsi" w:eastAsiaTheme="minorEastAsia" w:hAnsiTheme="minorHAnsi"/>
            <w:sz w:val="22"/>
            <w:szCs w:val="22"/>
            <w:lang w:val="fr-CA" w:eastAsia="fr-CA"/>
          </w:rPr>
          <w:tab/>
        </w:r>
        <w:r w:rsidR="009A1EF7" w:rsidRPr="00986BEB">
          <w:rPr>
            <w:rStyle w:val="Hyperlink"/>
            <w:lang w:val="fr-CA"/>
          </w:rPr>
          <w:t>Questions relatives au Conseil.</w:t>
        </w:r>
        <w:r w:rsidR="009A1EF7" w:rsidRPr="00986BEB">
          <w:rPr>
            <w:webHidden/>
          </w:rPr>
          <w:tab/>
        </w:r>
        <w:r w:rsidR="009A1EF7" w:rsidRPr="00986BEB">
          <w:rPr>
            <w:webHidden/>
          </w:rPr>
          <w:fldChar w:fldCharType="begin"/>
        </w:r>
        <w:r w:rsidR="009A1EF7" w:rsidRPr="00986BEB">
          <w:rPr>
            <w:webHidden/>
          </w:rPr>
          <w:instrText xml:space="preserve"> PAGEREF _Toc132874748 \h </w:instrText>
        </w:r>
        <w:r w:rsidR="009A1EF7" w:rsidRPr="00986BEB">
          <w:rPr>
            <w:webHidden/>
          </w:rPr>
        </w:r>
        <w:r w:rsidR="009A1EF7" w:rsidRPr="00986BEB">
          <w:rPr>
            <w:webHidden/>
          </w:rPr>
          <w:fldChar w:fldCharType="separate"/>
        </w:r>
        <w:r w:rsidR="00AE1D96">
          <w:rPr>
            <w:webHidden/>
          </w:rPr>
          <w:t>38</w:t>
        </w:r>
        <w:r w:rsidR="009A1EF7" w:rsidRPr="00986BEB">
          <w:rPr>
            <w:webHidden/>
          </w:rPr>
          <w:fldChar w:fldCharType="end"/>
        </w:r>
      </w:hyperlink>
    </w:p>
    <w:p w14:paraId="44A4359B" w14:textId="34B4D2ED" w:rsidR="009A1EF7" w:rsidRPr="00F832D0" w:rsidRDefault="00D106C7">
      <w:pPr>
        <w:pStyle w:val="TOC2"/>
        <w:rPr>
          <w:rFonts w:asciiTheme="minorHAnsi" w:eastAsiaTheme="minorEastAsia" w:hAnsiTheme="minorHAnsi"/>
          <w:sz w:val="22"/>
          <w:szCs w:val="22"/>
          <w:lang w:val="fr-CA" w:eastAsia="fr-CA"/>
        </w:rPr>
      </w:pPr>
      <w:hyperlink w:anchor="_Toc132874749" w:history="1">
        <w:r w:rsidR="009A1EF7" w:rsidRPr="00F832D0">
          <w:rPr>
            <w:rStyle w:val="Hyperlink"/>
            <w:lang w:val="fr-CA"/>
          </w:rPr>
          <w:t>5.6</w:t>
        </w:r>
        <w:r w:rsidR="009A1EF7" w:rsidRPr="00F832D0">
          <w:rPr>
            <w:rFonts w:asciiTheme="minorHAnsi" w:eastAsiaTheme="minorEastAsia" w:hAnsiTheme="minorHAnsi"/>
            <w:sz w:val="22"/>
            <w:szCs w:val="22"/>
            <w:lang w:val="fr-CA" w:eastAsia="fr-CA"/>
          </w:rPr>
          <w:tab/>
        </w:r>
        <w:r w:rsidR="009A1EF7" w:rsidRPr="00F832D0">
          <w:rPr>
            <w:rStyle w:val="Hyperlink"/>
            <w:lang w:val="fr-CA"/>
          </w:rPr>
          <w:t>Obligation d’indemnisation des successeurs</w:t>
        </w:r>
        <w:r w:rsidR="009A1EF7" w:rsidRPr="00F832D0">
          <w:rPr>
            <w:rStyle w:val="Hyperlink"/>
            <w:snapToGrid w:val="0"/>
            <w:lang w:val="fr-CA"/>
          </w:rPr>
          <w:t>.</w:t>
        </w:r>
        <w:r w:rsidR="009A1EF7" w:rsidRPr="00F832D0">
          <w:rPr>
            <w:webHidden/>
          </w:rPr>
          <w:tab/>
        </w:r>
        <w:r w:rsidR="009A1EF7" w:rsidRPr="00F832D0">
          <w:rPr>
            <w:webHidden/>
          </w:rPr>
          <w:fldChar w:fldCharType="begin"/>
        </w:r>
        <w:r w:rsidR="009A1EF7" w:rsidRPr="00F832D0">
          <w:rPr>
            <w:webHidden/>
          </w:rPr>
          <w:instrText xml:space="preserve"> PAGEREF _Toc132874749 \h </w:instrText>
        </w:r>
        <w:r w:rsidR="009A1EF7" w:rsidRPr="00F832D0">
          <w:rPr>
            <w:webHidden/>
          </w:rPr>
        </w:r>
        <w:r w:rsidR="009A1EF7" w:rsidRPr="00F832D0">
          <w:rPr>
            <w:webHidden/>
          </w:rPr>
          <w:fldChar w:fldCharType="separate"/>
        </w:r>
        <w:r w:rsidR="00AE1D96">
          <w:rPr>
            <w:webHidden/>
          </w:rPr>
          <w:t>38</w:t>
        </w:r>
        <w:r w:rsidR="009A1EF7" w:rsidRPr="00F832D0">
          <w:rPr>
            <w:webHidden/>
          </w:rPr>
          <w:fldChar w:fldCharType="end"/>
        </w:r>
      </w:hyperlink>
    </w:p>
    <w:p w14:paraId="6AA9488F" w14:textId="35A255BE" w:rsidR="009A1EF7" w:rsidRPr="00F832D0" w:rsidRDefault="00D106C7">
      <w:pPr>
        <w:pStyle w:val="TOC2"/>
        <w:rPr>
          <w:rFonts w:asciiTheme="minorHAnsi" w:eastAsiaTheme="minorEastAsia" w:hAnsiTheme="minorHAnsi"/>
          <w:sz w:val="22"/>
          <w:szCs w:val="22"/>
          <w:lang w:val="fr-CA" w:eastAsia="fr-CA"/>
        </w:rPr>
      </w:pPr>
      <w:hyperlink w:anchor="_Toc132874750" w:history="1">
        <w:r w:rsidR="009A1EF7" w:rsidRPr="00F832D0">
          <w:rPr>
            <w:rStyle w:val="Hyperlink"/>
            <w:lang w:val="fr-CA"/>
          </w:rPr>
          <w:t>5.7</w:t>
        </w:r>
        <w:r w:rsidR="009A1EF7" w:rsidRPr="00F832D0">
          <w:rPr>
            <w:rFonts w:asciiTheme="minorHAnsi" w:eastAsiaTheme="minorEastAsia" w:hAnsiTheme="minorHAnsi"/>
            <w:sz w:val="22"/>
            <w:szCs w:val="22"/>
            <w:lang w:val="fr-CA" w:eastAsia="fr-CA"/>
          </w:rPr>
          <w:tab/>
        </w:r>
        <w:r w:rsidR="009A1EF7" w:rsidRPr="00F832D0">
          <w:rPr>
            <w:rStyle w:val="Hyperlink"/>
            <w:lang w:val="fr-CA"/>
          </w:rPr>
          <w:t>[Honoraires du conseiller juridique</w:t>
        </w:r>
        <w:r w:rsidR="009A1EF7" w:rsidRPr="00F832D0">
          <w:rPr>
            <w:rStyle w:val="Hyperlink"/>
            <w:snapToGrid w:val="0"/>
            <w:lang w:val="fr-CA"/>
          </w:rPr>
          <w:t>.</w:t>
        </w:r>
        <w:r w:rsidR="009A1EF7" w:rsidRPr="00F832D0">
          <w:rPr>
            <w:webHidden/>
          </w:rPr>
          <w:tab/>
        </w:r>
        <w:r w:rsidR="009A1EF7" w:rsidRPr="00F832D0">
          <w:rPr>
            <w:webHidden/>
          </w:rPr>
          <w:fldChar w:fldCharType="begin"/>
        </w:r>
        <w:r w:rsidR="009A1EF7" w:rsidRPr="00F832D0">
          <w:rPr>
            <w:webHidden/>
          </w:rPr>
          <w:instrText xml:space="preserve"> PAGEREF _Toc132874750 \h </w:instrText>
        </w:r>
        <w:r w:rsidR="009A1EF7" w:rsidRPr="00F832D0">
          <w:rPr>
            <w:webHidden/>
          </w:rPr>
        </w:r>
        <w:r w:rsidR="009A1EF7" w:rsidRPr="00F832D0">
          <w:rPr>
            <w:webHidden/>
          </w:rPr>
          <w:fldChar w:fldCharType="separate"/>
        </w:r>
        <w:r w:rsidR="00AE1D96">
          <w:rPr>
            <w:webHidden/>
          </w:rPr>
          <w:t>39</w:t>
        </w:r>
        <w:r w:rsidR="009A1EF7" w:rsidRPr="00F832D0">
          <w:rPr>
            <w:webHidden/>
          </w:rPr>
          <w:fldChar w:fldCharType="end"/>
        </w:r>
      </w:hyperlink>
    </w:p>
    <w:p w14:paraId="7B517A33" w14:textId="7C55EE29" w:rsidR="009A1EF7" w:rsidRPr="00F832D0" w:rsidRDefault="00D106C7">
      <w:pPr>
        <w:pStyle w:val="TOC2"/>
        <w:rPr>
          <w:rFonts w:asciiTheme="minorHAnsi" w:eastAsiaTheme="minorEastAsia" w:hAnsiTheme="minorHAnsi"/>
          <w:sz w:val="22"/>
          <w:szCs w:val="22"/>
          <w:lang w:val="fr-CA" w:eastAsia="fr-CA"/>
        </w:rPr>
      </w:pPr>
      <w:hyperlink w:anchor="_Toc132874751" w:history="1">
        <w:r w:rsidR="009A1EF7" w:rsidRPr="00F832D0">
          <w:rPr>
            <w:rStyle w:val="Hyperlink"/>
            <w:lang w:val="fr-CA"/>
          </w:rPr>
          <w:t>5.8</w:t>
        </w:r>
        <w:r w:rsidR="009A1EF7" w:rsidRPr="00F832D0">
          <w:rPr>
            <w:rFonts w:asciiTheme="minorHAnsi" w:eastAsiaTheme="minorEastAsia" w:hAnsiTheme="minorHAnsi"/>
            <w:sz w:val="22"/>
            <w:szCs w:val="22"/>
            <w:lang w:val="fr-CA" w:eastAsia="fr-CA"/>
          </w:rPr>
          <w:tab/>
        </w:r>
        <w:r w:rsidR="009A1EF7" w:rsidRPr="00F832D0">
          <w:rPr>
            <w:rStyle w:val="Hyperlink"/>
            <w:lang w:val="fr-CA"/>
          </w:rPr>
          <w:t>[Questions relatives à l’indemnisation</w:t>
        </w:r>
        <w:r w:rsidR="009A1EF7" w:rsidRPr="00F832D0">
          <w:rPr>
            <w:rStyle w:val="Hyperlink"/>
            <w:snapToGrid w:val="0"/>
            <w:lang w:val="fr-CA"/>
          </w:rPr>
          <w:t>.</w:t>
        </w:r>
        <w:r w:rsidR="009A1EF7" w:rsidRPr="00F832D0">
          <w:rPr>
            <w:webHidden/>
          </w:rPr>
          <w:tab/>
        </w:r>
        <w:r w:rsidR="009A1EF7" w:rsidRPr="00F832D0">
          <w:rPr>
            <w:webHidden/>
          </w:rPr>
          <w:fldChar w:fldCharType="begin"/>
        </w:r>
        <w:r w:rsidR="009A1EF7" w:rsidRPr="00F832D0">
          <w:rPr>
            <w:webHidden/>
          </w:rPr>
          <w:instrText xml:space="preserve"> PAGEREF _Toc132874751 \h </w:instrText>
        </w:r>
        <w:r w:rsidR="009A1EF7" w:rsidRPr="00F832D0">
          <w:rPr>
            <w:webHidden/>
          </w:rPr>
        </w:r>
        <w:r w:rsidR="009A1EF7" w:rsidRPr="00F832D0">
          <w:rPr>
            <w:webHidden/>
          </w:rPr>
          <w:fldChar w:fldCharType="separate"/>
        </w:r>
        <w:r w:rsidR="00AE1D96">
          <w:rPr>
            <w:webHidden/>
          </w:rPr>
          <w:t>39</w:t>
        </w:r>
        <w:r w:rsidR="009A1EF7" w:rsidRPr="00F832D0">
          <w:rPr>
            <w:webHidden/>
          </w:rPr>
          <w:fldChar w:fldCharType="end"/>
        </w:r>
      </w:hyperlink>
    </w:p>
    <w:p w14:paraId="7FC9F813" w14:textId="68DF34C7" w:rsidR="009A1EF7" w:rsidRPr="00986BEB" w:rsidRDefault="00D106C7">
      <w:pPr>
        <w:pStyle w:val="TOC2"/>
        <w:rPr>
          <w:rFonts w:asciiTheme="minorHAnsi" w:eastAsiaTheme="minorEastAsia" w:hAnsiTheme="minorHAnsi"/>
          <w:sz w:val="22"/>
          <w:szCs w:val="22"/>
          <w:lang w:val="fr-CA" w:eastAsia="fr-CA"/>
        </w:rPr>
      </w:pPr>
      <w:hyperlink w:anchor="_Toc132874752" w:history="1">
        <w:r w:rsidR="009A1EF7" w:rsidRPr="00F832D0">
          <w:rPr>
            <w:rStyle w:val="Hyperlink"/>
            <w:lang w:val="fr-CA"/>
          </w:rPr>
          <w:t>5.9</w:t>
        </w:r>
        <w:r w:rsidR="009A1EF7" w:rsidRPr="00F832D0">
          <w:rPr>
            <w:rFonts w:asciiTheme="minorHAnsi" w:eastAsiaTheme="minorEastAsia" w:hAnsiTheme="minorHAnsi"/>
            <w:sz w:val="22"/>
            <w:szCs w:val="22"/>
            <w:lang w:val="fr-CA" w:eastAsia="fr-CA"/>
          </w:rPr>
          <w:tab/>
        </w:r>
        <w:r w:rsidR="009A1EF7" w:rsidRPr="00F832D0">
          <w:rPr>
            <w:rStyle w:val="Hyperlink"/>
            <w:lang w:val="fr-CA"/>
          </w:rPr>
          <w:t>[Droit d’exercer les activités.</w:t>
        </w:r>
        <w:r w:rsidR="009A1EF7" w:rsidRPr="00F832D0">
          <w:rPr>
            <w:webHidden/>
          </w:rPr>
          <w:tab/>
        </w:r>
        <w:r w:rsidR="009A1EF7" w:rsidRPr="00F832D0">
          <w:rPr>
            <w:webHidden/>
          </w:rPr>
          <w:fldChar w:fldCharType="begin"/>
        </w:r>
        <w:r w:rsidR="009A1EF7" w:rsidRPr="00F832D0">
          <w:rPr>
            <w:webHidden/>
          </w:rPr>
          <w:instrText xml:space="preserve"> PAGEREF _Toc132874752 \h </w:instrText>
        </w:r>
        <w:r w:rsidR="009A1EF7" w:rsidRPr="00F832D0">
          <w:rPr>
            <w:webHidden/>
          </w:rPr>
        </w:r>
        <w:r w:rsidR="009A1EF7" w:rsidRPr="00F832D0">
          <w:rPr>
            <w:webHidden/>
          </w:rPr>
          <w:fldChar w:fldCharType="separate"/>
        </w:r>
        <w:r w:rsidR="00AE1D96">
          <w:rPr>
            <w:webHidden/>
          </w:rPr>
          <w:t>40</w:t>
        </w:r>
        <w:r w:rsidR="009A1EF7" w:rsidRPr="00F832D0">
          <w:rPr>
            <w:webHidden/>
          </w:rPr>
          <w:fldChar w:fldCharType="end"/>
        </w:r>
      </w:hyperlink>
    </w:p>
    <w:p w14:paraId="023EF35B" w14:textId="3F087422" w:rsidR="009A1EF7" w:rsidRPr="00986BEB" w:rsidRDefault="00D106C7">
      <w:pPr>
        <w:pStyle w:val="TOC2"/>
        <w:rPr>
          <w:rFonts w:asciiTheme="minorHAnsi" w:eastAsiaTheme="minorEastAsia" w:hAnsiTheme="minorHAnsi"/>
          <w:sz w:val="22"/>
          <w:szCs w:val="22"/>
          <w:lang w:val="fr-CA" w:eastAsia="fr-CA"/>
        </w:rPr>
      </w:pPr>
      <w:hyperlink w:anchor="_Toc132874753" w:history="1">
        <w:r w:rsidR="009A1EF7" w:rsidRPr="00986BEB">
          <w:rPr>
            <w:rStyle w:val="Hyperlink"/>
            <w:lang w:val="fr-CA"/>
          </w:rPr>
          <w:t>5.10</w:t>
        </w:r>
        <w:r w:rsidR="009A1EF7" w:rsidRPr="00986BEB">
          <w:rPr>
            <w:rFonts w:asciiTheme="minorHAnsi" w:eastAsiaTheme="minorEastAsia" w:hAnsiTheme="minorHAnsi"/>
            <w:sz w:val="22"/>
            <w:szCs w:val="22"/>
            <w:lang w:val="fr-CA" w:eastAsia="fr-CA"/>
          </w:rPr>
          <w:tab/>
        </w:r>
        <w:r w:rsidR="009A1EF7" w:rsidRPr="00986BEB">
          <w:rPr>
            <w:rStyle w:val="Hyperlink"/>
            <w:lang w:val="fr-CA"/>
          </w:rPr>
          <w:t>[Politique contre le harcèlement.</w:t>
        </w:r>
        <w:r w:rsidR="009A1EF7" w:rsidRPr="00986BEB">
          <w:rPr>
            <w:webHidden/>
          </w:rPr>
          <w:tab/>
        </w:r>
        <w:r w:rsidR="009A1EF7" w:rsidRPr="00986BEB">
          <w:rPr>
            <w:webHidden/>
          </w:rPr>
          <w:fldChar w:fldCharType="begin"/>
        </w:r>
        <w:r w:rsidR="009A1EF7" w:rsidRPr="00986BEB">
          <w:rPr>
            <w:webHidden/>
          </w:rPr>
          <w:instrText xml:space="preserve"> PAGEREF _Toc132874753 \h </w:instrText>
        </w:r>
        <w:r w:rsidR="009A1EF7" w:rsidRPr="00986BEB">
          <w:rPr>
            <w:webHidden/>
          </w:rPr>
        </w:r>
        <w:r w:rsidR="009A1EF7" w:rsidRPr="00986BEB">
          <w:rPr>
            <w:webHidden/>
          </w:rPr>
          <w:fldChar w:fldCharType="separate"/>
        </w:r>
        <w:r w:rsidR="00AE1D96">
          <w:rPr>
            <w:webHidden/>
          </w:rPr>
          <w:t>41</w:t>
        </w:r>
        <w:r w:rsidR="009A1EF7" w:rsidRPr="00986BEB">
          <w:rPr>
            <w:webHidden/>
          </w:rPr>
          <w:fldChar w:fldCharType="end"/>
        </w:r>
      </w:hyperlink>
    </w:p>
    <w:p w14:paraId="440AA6AD" w14:textId="5F0067AC" w:rsidR="009A1EF7" w:rsidRPr="00986BEB" w:rsidRDefault="00D106C7">
      <w:pPr>
        <w:pStyle w:val="TOC2"/>
        <w:rPr>
          <w:rFonts w:asciiTheme="minorHAnsi" w:eastAsiaTheme="minorEastAsia" w:hAnsiTheme="minorHAnsi"/>
          <w:sz w:val="22"/>
          <w:szCs w:val="22"/>
          <w:lang w:val="fr-CA" w:eastAsia="fr-CA"/>
        </w:rPr>
      </w:pPr>
      <w:hyperlink w:anchor="_Toc132874754" w:history="1">
        <w:r w:rsidR="009A1EF7" w:rsidRPr="00986BEB">
          <w:rPr>
            <w:rStyle w:val="Hyperlink"/>
            <w:lang w:val="fr-CA"/>
          </w:rPr>
          <w:t>5.11</w:t>
        </w:r>
        <w:r w:rsidR="009A1EF7" w:rsidRPr="00986BEB">
          <w:rPr>
            <w:rFonts w:asciiTheme="minorHAnsi" w:eastAsiaTheme="minorEastAsia" w:hAnsiTheme="minorHAnsi"/>
            <w:sz w:val="22"/>
            <w:szCs w:val="22"/>
            <w:lang w:val="fr-CA" w:eastAsia="fr-CA"/>
          </w:rPr>
          <w:tab/>
        </w:r>
        <w:r w:rsidR="009A1EF7" w:rsidRPr="00986BEB">
          <w:rPr>
            <w:rStyle w:val="Hyperlink"/>
            <w:lang w:val="fr-CA"/>
          </w:rPr>
          <w:t>Pratiques de corruption à l’étranger.</w:t>
        </w:r>
        <w:r w:rsidR="009A1EF7" w:rsidRPr="00986BEB">
          <w:rPr>
            <w:webHidden/>
          </w:rPr>
          <w:tab/>
        </w:r>
        <w:r w:rsidR="009A1EF7" w:rsidRPr="00986BEB">
          <w:rPr>
            <w:webHidden/>
          </w:rPr>
          <w:fldChar w:fldCharType="begin"/>
        </w:r>
        <w:r w:rsidR="009A1EF7" w:rsidRPr="00986BEB">
          <w:rPr>
            <w:webHidden/>
          </w:rPr>
          <w:instrText xml:space="preserve"> PAGEREF _Toc132874754 \h </w:instrText>
        </w:r>
        <w:r w:rsidR="009A1EF7" w:rsidRPr="00986BEB">
          <w:rPr>
            <w:webHidden/>
          </w:rPr>
        </w:r>
        <w:r w:rsidR="009A1EF7" w:rsidRPr="00986BEB">
          <w:rPr>
            <w:webHidden/>
          </w:rPr>
          <w:fldChar w:fldCharType="separate"/>
        </w:r>
        <w:r w:rsidR="00AE1D96">
          <w:rPr>
            <w:webHidden/>
          </w:rPr>
          <w:t>41</w:t>
        </w:r>
        <w:r w:rsidR="009A1EF7" w:rsidRPr="00986BEB">
          <w:rPr>
            <w:webHidden/>
          </w:rPr>
          <w:fldChar w:fldCharType="end"/>
        </w:r>
      </w:hyperlink>
    </w:p>
    <w:p w14:paraId="67A912AA" w14:textId="7478F011" w:rsidR="009A1EF7" w:rsidRPr="00986BEB" w:rsidRDefault="00D106C7">
      <w:pPr>
        <w:pStyle w:val="TOC2"/>
        <w:rPr>
          <w:rFonts w:asciiTheme="minorHAnsi" w:eastAsiaTheme="minorEastAsia" w:hAnsiTheme="minorHAnsi"/>
          <w:sz w:val="22"/>
          <w:szCs w:val="22"/>
          <w:lang w:val="fr-CA" w:eastAsia="fr-CA"/>
        </w:rPr>
      </w:pPr>
      <w:hyperlink w:anchor="_Toc132874755" w:history="1">
        <w:r w:rsidR="009A1EF7" w:rsidRPr="00986BEB">
          <w:rPr>
            <w:rStyle w:val="Hyperlink"/>
            <w:lang w:val="fr-CA"/>
          </w:rPr>
          <w:t>5.12</w:t>
        </w:r>
        <w:r w:rsidR="009A1EF7" w:rsidRPr="00986BEB">
          <w:rPr>
            <w:rFonts w:asciiTheme="minorHAnsi" w:eastAsiaTheme="minorEastAsia" w:hAnsiTheme="minorHAnsi"/>
            <w:sz w:val="22"/>
            <w:szCs w:val="22"/>
            <w:lang w:val="fr-CA" w:eastAsia="fr-CA"/>
          </w:rPr>
          <w:tab/>
        </w:r>
        <w:r w:rsidR="009A1EF7" w:rsidRPr="00986BEB">
          <w:rPr>
            <w:rStyle w:val="Hyperlink"/>
            <w:lang w:val="fr-CA"/>
          </w:rPr>
          <w:t>Cybersécurité.</w:t>
        </w:r>
        <w:r w:rsidR="009A1EF7" w:rsidRPr="00986BEB">
          <w:rPr>
            <w:webHidden/>
          </w:rPr>
          <w:tab/>
        </w:r>
        <w:r w:rsidR="009A1EF7" w:rsidRPr="00986BEB">
          <w:rPr>
            <w:webHidden/>
          </w:rPr>
          <w:fldChar w:fldCharType="begin"/>
        </w:r>
        <w:r w:rsidR="009A1EF7" w:rsidRPr="00986BEB">
          <w:rPr>
            <w:webHidden/>
          </w:rPr>
          <w:instrText xml:space="preserve"> PAGEREF _Toc132874755 \h </w:instrText>
        </w:r>
        <w:r w:rsidR="009A1EF7" w:rsidRPr="00986BEB">
          <w:rPr>
            <w:webHidden/>
          </w:rPr>
        </w:r>
        <w:r w:rsidR="009A1EF7" w:rsidRPr="00986BEB">
          <w:rPr>
            <w:webHidden/>
          </w:rPr>
          <w:fldChar w:fldCharType="separate"/>
        </w:r>
        <w:r w:rsidR="00AE1D96">
          <w:rPr>
            <w:webHidden/>
          </w:rPr>
          <w:t>42</w:t>
        </w:r>
        <w:r w:rsidR="009A1EF7" w:rsidRPr="00986BEB">
          <w:rPr>
            <w:webHidden/>
          </w:rPr>
          <w:fldChar w:fldCharType="end"/>
        </w:r>
      </w:hyperlink>
    </w:p>
    <w:p w14:paraId="5C3DF01A" w14:textId="07BF68D1" w:rsidR="009A1EF7" w:rsidRPr="00986BEB" w:rsidRDefault="00D106C7">
      <w:pPr>
        <w:pStyle w:val="TOC2"/>
        <w:rPr>
          <w:rFonts w:asciiTheme="minorHAnsi" w:eastAsiaTheme="minorEastAsia" w:hAnsiTheme="minorHAnsi"/>
          <w:sz w:val="22"/>
          <w:szCs w:val="22"/>
          <w:lang w:val="fr-CA" w:eastAsia="fr-CA"/>
        </w:rPr>
      </w:pPr>
      <w:hyperlink w:anchor="_Toc132874756" w:history="1">
        <w:r w:rsidR="009A1EF7" w:rsidRPr="00986BEB">
          <w:rPr>
            <w:rStyle w:val="Hyperlink"/>
            <w:lang w:val="fr-CA"/>
          </w:rPr>
          <w:t>5.13</w:t>
        </w:r>
        <w:r w:rsidR="009A1EF7" w:rsidRPr="00986BEB">
          <w:rPr>
            <w:rFonts w:asciiTheme="minorHAnsi" w:eastAsiaTheme="minorEastAsia" w:hAnsiTheme="minorHAnsi"/>
            <w:sz w:val="22"/>
            <w:szCs w:val="22"/>
            <w:lang w:val="fr-CA" w:eastAsia="fr-CA"/>
          </w:rPr>
          <w:tab/>
        </w:r>
        <w:r w:rsidR="009A1EF7" w:rsidRPr="00986BEB">
          <w:rPr>
            <w:rStyle w:val="Hyperlink"/>
            <w:lang w:val="fr-CA"/>
          </w:rPr>
          <w:t>[Société de portefeuille immobilière.</w:t>
        </w:r>
        <w:r w:rsidR="009A1EF7" w:rsidRPr="00986BEB">
          <w:rPr>
            <w:webHidden/>
          </w:rPr>
          <w:tab/>
        </w:r>
        <w:r w:rsidR="009A1EF7" w:rsidRPr="00986BEB">
          <w:rPr>
            <w:webHidden/>
          </w:rPr>
          <w:fldChar w:fldCharType="begin"/>
        </w:r>
        <w:r w:rsidR="009A1EF7" w:rsidRPr="00986BEB">
          <w:rPr>
            <w:webHidden/>
          </w:rPr>
          <w:instrText xml:space="preserve"> PAGEREF _Toc132874756 \h </w:instrText>
        </w:r>
        <w:r w:rsidR="009A1EF7" w:rsidRPr="00986BEB">
          <w:rPr>
            <w:webHidden/>
          </w:rPr>
        </w:r>
        <w:r w:rsidR="009A1EF7" w:rsidRPr="00986BEB">
          <w:rPr>
            <w:webHidden/>
          </w:rPr>
          <w:fldChar w:fldCharType="separate"/>
        </w:r>
        <w:r w:rsidR="00AE1D96">
          <w:rPr>
            <w:webHidden/>
          </w:rPr>
          <w:t>43</w:t>
        </w:r>
        <w:r w:rsidR="009A1EF7" w:rsidRPr="00986BEB">
          <w:rPr>
            <w:webHidden/>
          </w:rPr>
          <w:fldChar w:fldCharType="end"/>
        </w:r>
      </w:hyperlink>
    </w:p>
    <w:p w14:paraId="4F31084F" w14:textId="0224C05C" w:rsidR="009A1EF7" w:rsidRPr="00986BEB" w:rsidRDefault="00D106C7">
      <w:pPr>
        <w:pStyle w:val="TOC2"/>
        <w:rPr>
          <w:rFonts w:asciiTheme="minorHAnsi" w:eastAsiaTheme="minorEastAsia" w:hAnsiTheme="minorHAnsi"/>
          <w:sz w:val="22"/>
          <w:szCs w:val="22"/>
          <w:lang w:val="fr-CA" w:eastAsia="fr-CA"/>
        </w:rPr>
      </w:pPr>
      <w:hyperlink w:anchor="_Toc132874757" w:history="1">
        <w:r w:rsidR="009A1EF7" w:rsidRPr="00986BEB">
          <w:rPr>
            <w:rStyle w:val="Hyperlink"/>
            <w:lang w:val="fr-CA"/>
          </w:rPr>
          <w:t>5.14</w:t>
        </w:r>
        <w:r w:rsidR="009A1EF7" w:rsidRPr="00986BEB">
          <w:rPr>
            <w:rFonts w:asciiTheme="minorHAnsi" w:eastAsiaTheme="minorEastAsia" w:hAnsiTheme="minorHAnsi"/>
            <w:sz w:val="22"/>
            <w:szCs w:val="22"/>
            <w:lang w:val="fr-CA" w:eastAsia="fr-CA"/>
          </w:rPr>
          <w:tab/>
        </w:r>
        <w:r w:rsidR="009A1EF7" w:rsidRPr="00986BEB">
          <w:rPr>
            <w:rStyle w:val="Hyperlink"/>
            <w:lang w:val="fr-CA"/>
          </w:rPr>
          <w:t>Fin des engagements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_Toc132874757 \h </w:instrText>
        </w:r>
        <w:r w:rsidR="009A1EF7" w:rsidRPr="00986BEB">
          <w:rPr>
            <w:webHidden/>
          </w:rPr>
        </w:r>
        <w:r w:rsidR="009A1EF7" w:rsidRPr="00986BEB">
          <w:rPr>
            <w:webHidden/>
          </w:rPr>
          <w:fldChar w:fldCharType="separate"/>
        </w:r>
        <w:r w:rsidR="00AE1D96">
          <w:rPr>
            <w:webHidden/>
          </w:rPr>
          <w:t>43</w:t>
        </w:r>
        <w:r w:rsidR="009A1EF7" w:rsidRPr="00986BEB">
          <w:rPr>
            <w:webHidden/>
          </w:rPr>
          <w:fldChar w:fldCharType="end"/>
        </w:r>
      </w:hyperlink>
    </w:p>
    <w:p w14:paraId="2718AA00" w14:textId="70950EF6" w:rsidR="009A1EF7" w:rsidRPr="00986BEB" w:rsidRDefault="00D106C7">
      <w:pPr>
        <w:pStyle w:val="TOC1"/>
        <w:rPr>
          <w:rFonts w:asciiTheme="minorHAnsi" w:eastAsiaTheme="minorEastAsia" w:hAnsiTheme="minorHAnsi"/>
          <w:sz w:val="22"/>
          <w:szCs w:val="22"/>
          <w:lang w:val="fr-CA" w:eastAsia="fr-CA"/>
        </w:rPr>
      </w:pPr>
      <w:hyperlink w:anchor="_Toc132874758" w:history="1">
        <w:r w:rsidR="009A1EF7" w:rsidRPr="00986BEB">
          <w:rPr>
            <w:rStyle w:val="Hyperlink"/>
            <w:lang w:val="fr-CA"/>
          </w:rPr>
          <w:t>6.</w:t>
        </w:r>
        <w:r w:rsidR="009A1EF7" w:rsidRPr="00986BEB">
          <w:rPr>
            <w:rFonts w:asciiTheme="minorHAnsi" w:eastAsiaTheme="minorEastAsia" w:hAnsiTheme="minorHAnsi"/>
            <w:sz w:val="22"/>
            <w:szCs w:val="22"/>
            <w:lang w:val="fr-CA" w:eastAsia="fr-CA"/>
          </w:rPr>
          <w:tab/>
        </w:r>
        <w:r w:rsidR="009A1EF7" w:rsidRPr="00986BEB">
          <w:rPr>
            <w:rStyle w:val="Hyperlink"/>
            <w:lang w:val="fr-CA"/>
          </w:rPr>
          <w:t>Dispositions diverses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_Toc132874758 \h </w:instrText>
        </w:r>
        <w:r w:rsidR="009A1EF7" w:rsidRPr="00986BEB">
          <w:rPr>
            <w:webHidden/>
          </w:rPr>
        </w:r>
        <w:r w:rsidR="009A1EF7" w:rsidRPr="00986BEB">
          <w:rPr>
            <w:webHidden/>
          </w:rPr>
          <w:fldChar w:fldCharType="separate"/>
        </w:r>
        <w:r w:rsidR="00AE1D96">
          <w:rPr>
            <w:webHidden/>
          </w:rPr>
          <w:t>43</w:t>
        </w:r>
        <w:r w:rsidR="009A1EF7" w:rsidRPr="00986BEB">
          <w:rPr>
            <w:webHidden/>
          </w:rPr>
          <w:fldChar w:fldCharType="end"/>
        </w:r>
      </w:hyperlink>
    </w:p>
    <w:p w14:paraId="783E79AB" w14:textId="45383C1D" w:rsidR="009A1EF7" w:rsidRPr="00986BEB" w:rsidRDefault="00D106C7">
      <w:pPr>
        <w:pStyle w:val="TOC2"/>
        <w:rPr>
          <w:rFonts w:asciiTheme="minorHAnsi" w:eastAsiaTheme="minorEastAsia" w:hAnsiTheme="minorHAnsi"/>
          <w:sz w:val="22"/>
          <w:szCs w:val="22"/>
          <w:lang w:val="fr-CA" w:eastAsia="fr-CA"/>
        </w:rPr>
      </w:pPr>
      <w:hyperlink w:anchor="_Toc132874759" w:history="1">
        <w:r w:rsidR="009A1EF7" w:rsidRPr="00986BEB">
          <w:rPr>
            <w:rStyle w:val="Hyperlink"/>
            <w:lang w:val="fr-CA"/>
          </w:rPr>
          <w:t>6.1</w:t>
        </w:r>
        <w:r w:rsidR="009A1EF7" w:rsidRPr="00986BEB">
          <w:rPr>
            <w:rFonts w:asciiTheme="minorHAnsi" w:eastAsiaTheme="minorEastAsia" w:hAnsiTheme="minorHAnsi"/>
            <w:sz w:val="22"/>
            <w:szCs w:val="22"/>
            <w:lang w:val="fr-CA" w:eastAsia="fr-CA"/>
          </w:rPr>
          <w:tab/>
        </w:r>
        <w:r w:rsidR="009A1EF7" w:rsidRPr="00986BEB">
          <w:rPr>
            <w:rStyle w:val="Hyperlink"/>
            <w:lang w:val="fr-CA"/>
          </w:rPr>
          <w:t>Successeurs et ayants droit ou ayants cause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_Toc132874759 \h </w:instrText>
        </w:r>
        <w:r w:rsidR="009A1EF7" w:rsidRPr="00986BEB">
          <w:rPr>
            <w:webHidden/>
          </w:rPr>
        </w:r>
        <w:r w:rsidR="009A1EF7" w:rsidRPr="00986BEB">
          <w:rPr>
            <w:webHidden/>
          </w:rPr>
          <w:fldChar w:fldCharType="separate"/>
        </w:r>
        <w:r w:rsidR="00AE1D96">
          <w:rPr>
            <w:webHidden/>
          </w:rPr>
          <w:t>43</w:t>
        </w:r>
        <w:r w:rsidR="009A1EF7" w:rsidRPr="00986BEB">
          <w:rPr>
            <w:webHidden/>
          </w:rPr>
          <w:fldChar w:fldCharType="end"/>
        </w:r>
      </w:hyperlink>
    </w:p>
    <w:p w14:paraId="0FCE93C1" w14:textId="1FD1D3B2" w:rsidR="009A1EF7" w:rsidRPr="00986BEB" w:rsidRDefault="00D106C7">
      <w:pPr>
        <w:pStyle w:val="TOC2"/>
        <w:rPr>
          <w:rFonts w:asciiTheme="minorHAnsi" w:eastAsiaTheme="minorEastAsia" w:hAnsiTheme="minorHAnsi"/>
          <w:sz w:val="22"/>
          <w:szCs w:val="22"/>
          <w:lang w:val="fr-CA" w:eastAsia="fr-CA"/>
        </w:rPr>
      </w:pPr>
      <w:hyperlink w:anchor="_Toc132874760" w:history="1">
        <w:r w:rsidR="009A1EF7" w:rsidRPr="00986BEB">
          <w:rPr>
            <w:rStyle w:val="Hyperlink"/>
            <w:lang w:val="fr-CA"/>
          </w:rPr>
          <w:t>6.2</w:t>
        </w:r>
        <w:r w:rsidR="009A1EF7" w:rsidRPr="00986BEB">
          <w:rPr>
            <w:rFonts w:asciiTheme="minorHAnsi" w:eastAsiaTheme="minorEastAsia" w:hAnsiTheme="minorHAnsi"/>
            <w:sz w:val="22"/>
            <w:szCs w:val="22"/>
            <w:lang w:val="fr-CA" w:eastAsia="fr-CA"/>
          </w:rPr>
          <w:tab/>
        </w:r>
        <w:r w:rsidR="009A1EF7" w:rsidRPr="00986BEB">
          <w:rPr>
            <w:rStyle w:val="Hyperlink"/>
            <w:lang w:val="fr-CA"/>
          </w:rPr>
          <w:t>Droit applicable.</w:t>
        </w:r>
        <w:r w:rsidR="009A1EF7" w:rsidRPr="00986BEB">
          <w:rPr>
            <w:webHidden/>
          </w:rPr>
          <w:tab/>
        </w:r>
        <w:r w:rsidR="009A1EF7" w:rsidRPr="00986BEB">
          <w:rPr>
            <w:webHidden/>
          </w:rPr>
          <w:fldChar w:fldCharType="begin"/>
        </w:r>
        <w:r w:rsidR="009A1EF7" w:rsidRPr="00986BEB">
          <w:rPr>
            <w:webHidden/>
          </w:rPr>
          <w:instrText xml:space="preserve"> PAGEREF _Toc132874760 \h </w:instrText>
        </w:r>
        <w:r w:rsidR="009A1EF7" w:rsidRPr="00986BEB">
          <w:rPr>
            <w:webHidden/>
          </w:rPr>
        </w:r>
        <w:r w:rsidR="009A1EF7" w:rsidRPr="00986BEB">
          <w:rPr>
            <w:webHidden/>
          </w:rPr>
          <w:fldChar w:fldCharType="separate"/>
        </w:r>
        <w:r w:rsidR="00AE1D96">
          <w:rPr>
            <w:webHidden/>
          </w:rPr>
          <w:t>44</w:t>
        </w:r>
        <w:r w:rsidR="009A1EF7" w:rsidRPr="00986BEB">
          <w:rPr>
            <w:webHidden/>
          </w:rPr>
          <w:fldChar w:fldCharType="end"/>
        </w:r>
      </w:hyperlink>
    </w:p>
    <w:p w14:paraId="030705B2" w14:textId="23D7CE39" w:rsidR="009A1EF7" w:rsidRPr="00986BEB" w:rsidRDefault="00D106C7">
      <w:pPr>
        <w:pStyle w:val="TOC2"/>
        <w:rPr>
          <w:rFonts w:asciiTheme="minorHAnsi" w:eastAsiaTheme="minorEastAsia" w:hAnsiTheme="minorHAnsi"/>
          <w:sz w:val="22"/>
          <w:szCs w:val="22"/>
          <w:lang w:val="fr-CA" w:eastAsia="fr-CA"/>
        </w:rPr>
      </w:pPr>
      <w:hyperlink w:anchor="_Toc132874761" w:history="1">
        <w:r w:rsidR="009A1EF7" w:rsidRPr="00986BEB">
          <w:rPr>
            <w:rStyle w:val="Hyperlink"/>
            <w:lang w:val="fr-CA"/>
          </w:rPr>
          <w:t>6.3</w:t>
        </w:r>
        <w:r w:rsidR="009A1EF7" w:rsidRPr="00986BEB">
          <w:rPr>
            <w:rFonts w:asciiTheme="minorHAnsi" w:eastAsiaTheme="minorEastAsia" w:hAnsiTheme="minorHAnsi"/>
            <w:sz w:val="22"/>
            <w:szCs w:val="22"/>
            <w:lang w:val="fr-CA" w:eastAsia="fr-CA"/>
          </w:rPr>
          <w:tab/>
        </w:r>
        <w:r w:rsidR="009A1EF7" w:rsidRPr="00986BEB">
          <w:rPr>
            <w:rStyle w:val="Hyperlink"/>
            <w:lang w:val="fr-CA"/>
          </w:rPr>
          <w:t>Exemplaires.</w:t>
        </w:r>
        <w:r w:rsidR="009A1EF7" w:rsidRPr="00986BEB">
          <w:rPr>
            <w:webHidden/>
          </w:rPr>
          <w:tab/>
        </w:r>
        <w:r w:rsidR="009A1EF7" w:rsidRPr="00986BEB">
          <w:rPr>
            <w:webHidden/>
          </w:rPr>
          <w:fldChar w:fldCharType="begin"/>
        </w:r>
        <w:r w:rsidR="009A1EF7" w:rsidRPr="00986BEB">
          <w:rPr>
            <w:webHidden/>
          </w:rPr>
          <w:instrText xml:space="preserve"> PAGEREF _Toc132874761 \h </w:instrText>
        </w:r>
        <w:r w:rsidR="009A1EF7" w:rsidRPr="00986BEB">
          <w:rPr>
            <w:webHidden/>
          </w:rPr>
        </w:r>
        <w:r w:rsidR="009A1EF7" w:rsidRPr="00986BEB">
          <w:rPr>
            <w:webHidden/>
          </w:rPr>
          <w:fldChar w:fldCharType="separate"/>
        </w:r>
        <w:r w:rsidR="00AE1D96">
          <w:rPr>
            <w:webHidden/>
          </w:rPr>
          <w:t>44</w:t>
        </w:r>
        <w:r w:rsidR="009A1EF7" w:rsidRPr="00986BEB">
          <w:rPr>
            <w:webHidden/>
          </w:rPr>
          <w:fldChar w:fldCharType="end"/>
        </w:r>
      </w:hyperlink>
    </w:p>
    <w:p w14:paraId="3F722214" w14:textId="46EFCDEC" w:rsidR="009A1EF7" w:rsidRPr="00986BEB" w:rsidRDefault="00D106C7">
      <w:pPr>
        <w:pStyle w:val="TOC2"/>
        <w:rPr>
          <w:rFonts w:asciiTheme="minorHAnsi" w:eastAsiaTheme="minorEastAsia" w:hAnsiTheme="minorHAnsi"/>
          <w:sz w:val="22"/>
          <w:szCs w:val="22"/>
          <w:lang w:val="fr-CA" w:eastAsia="fr-CA"/>
        </w:rPr>
      </w:pPr>
      <w:hyperlink w:anchor="_Toc132874762" w:history="1">
        <w:r w:rsidR="009A1EF7" w:rsidRPr="00986BEB">
          <w:rPr>
            <w:rStyle w:val="Hyperlink"/>
            <w:lang w:val="fr-CA"/>
          </w:rPr>
          <w:t>6.4</w:t>
        </w:r>
        <w:r w:rsidR="009A1EF7" w:rsidRPr="00986BEB">
          <w:rPr>
            <w:rFonts w:asciiTheme="minorHAnsi" w:eastAsiaTheme="minorEastAsia" w:hAnsiTheme="minorHAnsi"/>
            <w:sz w:val="22"/>
            <w:szCs w:val="22"/>
            <w:lang w:val="fr-CA" w:eastAsia="fr-CA"/>
          </w:rPr>
          <w:tab/>
        </w:r>
        <w:r w:rsidR="009A1EF7" w:rsidRPr="00986BEB">
          <w:rPr>
            <w:rStyle w:val="Hyperlink"/>
            <w:lang w:val="fr-CA"/>
          </w:rPr>
          <w:t>Titres et sous-titres.</w:t>
        </w:r>
        <w:r w:rsidR="009A1EF7" w:rsidRPr="00986BEB">
          <w:rPr>
            <w:webHidden/>
          </w:rPr>
          <w:tab/>
        </w:r>
        <w:r w:rsidR="009A1EF7" w:rsidRPr="00986BEB">
          <w:rPr>
            <w:webHidden/>
          </w:rPr>
          <w:fldChar w:fldCharType="begin"/>
        </w:r>
        <w:r w:rsidR="009A1EF7" w:rsidRPr="00986BEB">
          <w:rPr>
            <w:webHidden/>
          </w:rPr>
          <w:instrText xml:space="preserve"> PAGEREF _Toc132874762 \h </w:instrText>
        </w:r>
        <w:r w:rsidR="009A1EF7" w:rsidRPr="00986BEB">
          <w:rPr>
            <w:webHidden/>
          </w:rPr>
        </w:r>
        <w:r w:rsidR="009A1EF7" w:rsidRPr="00986BEB">
          <w:rPr>
            <w:webHidden/>
          </w:rPr>
          <w:fldChar w:fldCharType="separate"/>
        </w:r>
        <w:r w:rsidR="00AE1D96">
          <w:rPr>
            <w:webHidden/>
          </w:rPr>
          <w:t>44</w:t>
        </w:r>
        <w:r w:rsidR="009A1EF7" w:rsidRPr="00986BEB">
          <w:rPr>
            <w:webHidden/>
          </w:rPr>
          <w:fldChar w:fldCharType="end"/>
        </w:r>
      </w:hyperlink>
    </w:p>
    <w:p w14:paraId="18923DC0" w14:textId="52217834" w:rsidR="009A1EF7" w:rsidRPr="00986BEB" w:rsidRDefault="00D106C7">
      <w:pPr>
        <w:pStyle w:val="TOC2"/>
        <w:rPr>
          <w:rFonts w:asciiTheme="minorHAnsi" w:eastAsiaTheme="minorEastAsia" w:hAnsiTheme="minorHAnsi"/>
          <w:sz w:val="22"/>
          <w:szCs w:val="22"/>
          <w:lang w:val="fr-CA" w:eastAsia="fr-CA"/>
        </w:rPr>
      </w:pPr>
      <w:hyperlink w:anchor="_Toc132874763" w:history="1">
        <w:r w:rsidR="009A1EF7" w:rsidRPr="00986BEB">
          <w:rPr>
            <w:rStyle w:val="Hyperlink"/>
            <w:lang w:val="fr-CA"/>
          </w:rPr>
          <w:t>6.5</w:t>
        </w:r>
        <w:r w:rsidR="009A1EF7" w:rsidRPr="00986BEB">
          <w:rPr>
            <w:rFonts w:asciiTheme="minorHAnsi" w:eastAsiaTheme="minorEastAsia" w:hAnsiTheme="minorHAnsi"/>
            <w:sz w:val="22"/>
            <w:szCs w:val="22"/>
            <w:lang w:val="fr-CA" w:eastAsia="fr-CA"/>
          </w:rPr>
          <w:tab/>
        </w:r>
        <w:r w:rsidR="009A1EF7" w:rsidRPr="00986BEB">
          <w:rPr>
            <w:rStyle w:val="Hyperlink"/>
            <w:lang w:val="fr-CA"/>
          </w:rPr>
          <w:t>Avis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_Toc132874763 \h </w:instrText>
        </w:r>
        <w:r w:rsidR="009A1EF7" w:rsidRPr="00986BEB">
          <w:rPr>
            <w:webHidden/>
          </w:rPr>
        </w:r>
        <w:r w:rsidR="009A1EF7" w:rsidRPr="00986BEB">
          <w:rPr>
            <w:webHidden/>
          </w:rPr>
          <w:fldChar w:fldCharType="separate"/>
        </w:r>
        <w:r w:rsidR="00AE1D96">
          <w:rPr>
            <w:webHidden/>
          </w:rPr>
          <w:t>44</w:t>
        </w:r>
        <w:r w:rsidR="009A1EF7" w:rsidRPr="00986BEB">
          <w:rPr>
            <w:webHidden/>
          </w:rPr>
          <w:fldChar w:fldCharType="end"/>
        </w:r>
      </w:hyperlink>
    </w:p>
    <w:p w14:paraId="3D57A91F" w14:textId="3F15BE9E" w:rsidR="009A1EF7" w:rsidRPr="00986BEB" w:rsidRDefault="00D106C7">
      <w:pPr>
        <w:pStyle w:val="TOC2"/>
        <w:rPr>
          <w:rFonts w:asciiTheme="minorHAnsi" w:eastAsiaTheme="minorEastAsia" w:hAnsiTheme="minorHAnsi"/>
          <w:sz w:val="22"/>
          <w:szCs w:val="22"/>
          <w:lang w:val="fr-CA" w:eastAsia="fr-CA"/>
        </w:rPr>
      </w:pPr>
      <w:hyperlink w:anchor="_Toc132874764" w:history="1">
        <w:r w:rsidR="009A1EF7" w:rsidRPr="00986BEB">
          <w:rPr>
            <w:rStyle w:val="Hyperlink"/>
            <w:lang w:val="fr-CA"/>
          </w:rPr>
          <w:t>6.6</w:t>
        </w:r>
        <w:r w:rsidR="009A1EF7" w:rsidRPr="00986BEB">
          <w:rPr>
            <w:rFonts w:asciiTheme="minorHAnsi" w:eastAsiaTheme="minorEastAsia" w:hAnsiTheme="minorHAnsi"/>
            <w:sz w:val="22"/>
            <w:szCs w:val="22"/>
            <w:lang w:val="fr-CA" w:eastAsia="fr-CA"/>
          </w:rPr>
          <w:tab/>
        </w:r>
        <w:r w:rsidR="009A1EF7" w:rsidRPr="00986BEB">
          <w:rPr>
            <w:rStyle w:val="Hyperlink"/>
            <w:lang w:val="fr-CA"/>
          </w:rPr>
          <w:t>Modifications et renonciation</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_Toc132874764 \h </w:instrText>
        </w:r>
        <w:r w:rsidR="009A1EF7" w:rsidRPr="00986BEB">
          <w:rPr>
            <w:webHidden/>
          </w:rPr>
        </w:r>
        <w:r w:rsidR="009A1EF7" w:rsidRPr="00986BEB">
          <w:rPr>
            <w:webHidden/>
          </w:rPr>
          <w:fldChar w:fldCharType="separate"/>
        </w:r>
        <w:r w:rsidR="00AE1D96">
          <w:rPr>
            <w:webHidden/>
          </w:rPr>
          <w:t>45</w:t>
        </w:r>
        <w:r w:rsidR="009A1EF7" w:rsidRPr="00986BEB">
          <w:rPr>
            <w:webHidden/>
          </w:rPr>
          <w:fldChar w:fldCharType="end"/>
        </w:r>
      </w:hyperlink>
    </w:p>
    <w:p w14:paraId="66FFD0D8" w14:textId="3C441D3F" w:rsidR="009A1EF7" w:rsidRPr="00986BEB" w:rsidRDefault="00D106C7">
      <w:pPr>
        <w:pStyle w:val="TOC2"/>
        <w:rPr>
          <w:rFonts w:asciiTheme="minorHAnsi" w:eastAsiaTheme="minorEastAsia" w:hAnsiTheme="minorHAnsi"/>
          <w:sz w:val="22"/>
          <w:szCs w:val="22"/>
          <w:lang w:val="fr-CA" w:eastAsia="fr-CA"/>
        </w:rPr>
      </w:pPr>
      <w:hyperlink w:anchor="_Toc132874765" w:history="1">
        <w:r w:rsidR="009A1EF7" w:rsidRPr="00986BEB">
          <w:rPr>
            <w:rStyle w:val="Hyperlink"/>
            <w:lang w:val="fr-CA"/>
          </w:rPr>
          <w:t>6.7</w:t>
        </w:r>
        <w:r w:rsidR="009A1EF7" w:rsidRPr="00986BEB">
          <w:rPr>
            <w:rFonts w:asciiTheme="minorHAnsi" w:eastAsiaTheme="minorEastAsia" w:hAnsiTheme="minorHAnsi"/>
            <w:sz w:val="22"/>
            <w:szCs w:val="22"/>
            <w:lang w:val="fr-CA" w:eastAsia="fr-CA"/>
          </w:rPr>
          <w:tab/>
        </w:r>
        <w:r w:rsidR="009A1EF7" w:rsidRPr="00986BEB">
          <w:rPr>
            <w:rStyle w:val="Hyperlink"/>
            <w:lang w:val="fr-CA"/>
          </w:rPr>
          <w:t>Dissociabilité</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_Toc132874765 \h </w:instrText>
        </w:r>
        <w:r w:rsidR="009A1EF7" w:rsidRPr="00986BEB">
          <w:rPr>
            <w:webHidden/>
          </w:rPr>
        </w:r>
        <w:r w:rsidR="009A1EF7" w:rsidRPr="00986BEB">
          <w:rPr>
            <w:webHidden/>
          </w:rPr>
          <w:fldChar w:fldCharType="separate"/>
        </w:r>
        <w:r w:rsidR="00AE1D96">
          <w:rPr>
            <w:webHidden/>
          </w:rPr>
          <w:t>46</w:t>
        </w:r>
        <w:r w:rsidR="009A1EF7" w:rsidRPr="00986BEB">
          <w:rPr>
            <w:webHidden/>
          </w:rPr>
          <w:fldChar w:fldCharType="end"/>
        </w:r>
      </w:hyperlink>
    </w:p>
    <w:p w14:paraId="7EFBCC5A" w14:textId="7B8F415D" w:rsidR="009A1EF7" w:rsidRPr="00986BEB" w:rsidRDefault="00D106C7">
      <w:pPr>
        <w:pStyle w:val="TOC2"/>
        <w:rPr>
          <w:rFonts w:asciiTheme="minorHAnsi" w:eastAsiaTheme="minorEastAsia" w:hAnsiTheme="minorHAnsi"/>
          <w:sz w:val="22"/>
          <w:szCs w:val="22"/>
          <w:lang w:val="fr-CA" w:eastAsia="fr-CA"/>
        </w:rPr>
      </w:pPr>
      <w:hyperlink w:anchor="_Toc132874766" w:history="1">
        <w:r w:rsidR="009A1EF7" w:rsidRPr="00986BEB">
          <w:rPr>
            <w:rStyle w:val="Hyperlink"/>
            <w:lang w:val="fr-CA"/>
          </w:rPr>
          <w:t>6.8</w:t>
        </w:r>
        <w:r w:rsidR="009A1EF7" w:rsidRPr="00986BEB">
          <w:rPr>
            <w:rFonts w:asciiTheme="minorHAnsi" w:eastAsiaTheme="minorEastAsia" w:hAnsiTheme="minorHAnsi"/>
            <w:sz w:val="22"/>
            <w:szCs w:val="22"/>
            <w:lang w:val="fr-CA" w:eastAsia="fr-CA"/>
          </w:rPr>
          <w:tab/>
        </w:r>
        <w:r w:rsidR="009A1EF7" w:rsidRPr="00986BEB">
          <w:rPr>
            <w:rStyle w:val="Hyperlink"/>
            <w:lang w:val="fr-CA"/>
          </w:rPr>
          <w:t>Regroupement d’actions; répartition.</w:t>
        </w:r>
        <w:r w:rsidR="009A1EF7" w:rsidRPr="00986BEB">
          <w:rPr>
            <w:webHidden/>
          </w:rPr>
          <w:tab/>
        </w:r>
        <w:r w:rsidR="009A1EF7" w:rsidRPr="00986BEB">
          <w:rPr>
            <w:webHidden/>
          </w:rPr>
          <w:fldChar w:fldCharType="begin"/>
        </w:r>
        <w:r w:rsidR="009A1EF7" w:rsidRPr="00986BEB">
          <w:rPr>
            <w:webHidden/>
          </w:rPr>
          <w:instrText xml:space="preserve"> PAGEREF _Toc132874766 \h </w:instrText>
        </w:r>
        <w:r w:rsidR="009A1EF7" w:rsidRPr="00986BEB">
          <w:rPr>
            <w:webHidden/>
          </w:rPr>
        </w:r>
        <w:r w:rsidR="009A1EF7" w:rsidRPr="00986BEB">
          <w:rPr>
            <w:webHidden/>
          </w:rPr>
          <w:fldChar w:fldCharType="separate"/>
        </w:r>
        <w:r w:rsidR="00AE1D96">
          <w:rPr>
            <w:webHidden/>
          </w:rPr>
          <w:t>46</w:t>
        </w:r>
        <w:r w:rsidR="009A1EF7" w:rsidRPr="00986BEB">
          <w:rPr>
            <w:webHidden/>
          </w:rPr>
          <w:fldChar w:fldCharType="end"/>
        </w:r>
      </w:hyperlink>
    </w:p>
    <w:p w14:paraId="1CDB8964" w14:textId="39C70DD4" w:rsidR="009A1EF7" w:rsidRPr="00986BEB" w:rsidRDefault="00D106C7">
      <w:pPr>
        <w:pStyle w:val="TOC2"/>
        <w:rPr>
          <w:rFonts w:asciiTheme="minorHAnsi" w:eastAsiaTheme="minorEastAsia" w:hAnsiTheme="minorHAnsi"/>
          <w:sz w:val="22"/>
          <w:szCs w:val="22"/>
          <w:lang w:val="fr-CA" w:eastAsia="fr-CA"/>
        </w:rPr>
      </w:pPr>
      <w:hyperlink w:anchor="_Toc132874767" w:history="1">
        <w:r w:rsidR="009A1EF7" w:rsidRPr="00986BEB">
          <w:rPr>
            <w:rStyle w:val="Hyperlink"/>
            <w:lang w:val="fr-CA"/>
          </w:rPr>
          <w:t>6.9</w:t>
        </w:r>
        <w:r w:rsidR="009A1EF7" w:rsidRPr="00986BEB">
          <w:rPr>
            <w:rFonts w:asciiTheme="minorHAnsi" w:eastAsiaTheme="minorEastAsia" w:hAnsiTheme="minorHAnsi"/>
            <w:sz w:val="22"/>
            <w:szCs w:val="22"/>
            <w:lang w:val="fr-CA" w:eastAsia="fr-CA"/>
          </w:rPr>
          <w:tab/>
        </w:r>
        <w:r w:rsidR="009A1EF7" w:rsidRPr="00986BEB">
          <w:rPr>
            <w:rStyle w:val="Hyperlink"/>
            <w:lang w:val="fr-CA"/>
          </w:rPr>
          <w:t>Investisseurs supplémentaires.</w:t>
        </w:r>
        <w:r w:rsidR="009A1EF7" w:rsidRPr="00986BEB">
          <w:rPr>
            <w:webHidden/>
          </w:rPr>
          <w:tab/>
        </w:r>
        <w:r w:rsidR="009A1EF7" w:rsidRPr="00986BEB">
          <w:rPr>
            <w:webHidden/>
          </w:rPr>
          <w:fldChar w:fldCharType="begin"/>
        </w:r>
        <w:r w:rsidR="009A1EF7" w:rsidRPr="00986BEB">
          <w:rPr>
            <w:webHidden/>
          </w:rPr>
          <w:instrText xml:space="preserve"> PAGEREF _Toc132874767 \h </w:instrText>
        </w:r>
        <w:r w:rsidR="009A1EF7" w:rsidRPr="00986BEB">
          <w:rPr>
            <w:webHidden/>
          </w:rPr>
        </w:r>
        <w:r w:rsidR="009A1EF7" w:rsidRPr="00986BEB">
          <w:rPr>
            <w:webHidden/>
          </w:rPr>
          <w:fldChar w:fldCharType="separate"/>
        </w:r>
        <w:r w:rsidR="00AE1D96">
          <w:rPr>
            <w:webHidden/>
          </w:rPr>
          <w:t>47</w:t>
        </w:r>
        <w:r w:rsidR="009A1EF7" w:rsidRPr="00986BEB">
          <w:rPr>
            <w:webHidden/>
          </w:rPr>
          <w:fldChar w:fldCharType="end"/>
        </w:r>
      </w:hyperlink>
    </w:p>
    <w:p w14:paraId="2D327C00" w14:textId="1EC1DDD8" w:rsidR="009A1EF7" w:rsidRPr="00986BEB" w:rsidRDefault="00D106C7">
      <w:pPr>
        <w:pStyle w:val="TOC2"/>
        <w:rPr>
          <w:rFonts w:asciiTheme="minorHAnsi" w:eastAsiaTheme="minorEastAsia" w:hAnsiTheme="minorHAnsi"/>
          <w:sz w:val="22"/>
          <w:szCs w:val="22"/>
          <w:lang w:val="fr-CA" w:eastAsia="fr-CA"/>
        </w:rPr>
      </w:pPr>
      <w:hyperlink w:anchor="_Toc132874768" w:history="1">
        <w:r w:rsidR="009A1EF7" w:rsidRPr="00986BEB">
          <w:rPr>
            <w:rStyle w:val="Hyperlink"/>
            <w:lang w:val="fr-CA"/>
          </w:rPr>
          <w:t>6.10</w:t>
        </w:r>
        <w:r w:rsidR="009A1EF7" w:rsidRPr="00986BEB">
          <w:rPr>
            <w:rFonts w:asciiTheme="minorHAnsi" w:eastAsiaTheme="minorEastAsia" w:hAnsiTheme="minorHAnsi"/>
            <w:sz w:val="22"/>
            <w:szCs w:val="22"/>
            <w:lang w:val="fr-CA" w:eastAsia="fr-CA"/>
          </w:rPr>
          <w:tab/>
        </w:r>
        <w:r w:rsidR="009A1EF7" w:rsidRPr="00986BEB">
          <w:rPr>
            <w:rStyle w:val="Hyperlink"/>
            <w:lang w:val="fr-CA"/>
          </w:rPr>
          <w:t>Intégralité de l’entente.</w:t>
        </w:r>
        <w:r w:rsidR="009A1EF7" w:rsidRPr="00986BEB">
          <w:rPr>
            <w:webHidden/>
          </w:rPr>
          <w:tab/>
        </w:r>
        <w:r w:rsidR="009A1EF7" w:rsidRPr="00986BEB">
          <w:rPr>
            <w:webHidden/>
          </w:rPr>
          <w:fldChar w:fldCharType="begin"/>
        </w:r>
        <w:r w:rsidR="009A1EF7" w:rsidRPr="00986BEB">
          <w:rPr>
            <w:webHidden/>
          </w:rPr>
          <w:instrText xml:space="preserve"> PAGEREF _Toc132874768 \h </w:instrText>
        </w:r>
        <w:r w:rsidR="009A1EF7" w:rsidRPr="00986BEB">
          <w:rPr>
            <w:webHidden/>
          </w:rPr>
        </w:r>
        <w:r w:rsidR="009A1EF7" w:rsidRPr="00986BEB">
          <w:rPr>
            <w:webHidden/>
          </w:rPr>
          <w:fldChar w:fldCharType="separate"/>
        </w:r>
        <w:r w:rsidR="00AE1D96">
          <w:rPr>
            <w:webHidden/>
          </w:rPr>
          <w:t>47</w:t>
        </w:r>
        <w:r w:rsidR="009A1EF7" w:rsidRPr="00986BEB">
          <w:rPr>
            <w:webHidden/>
          </w:rPr>
          <w:fldChar w:fldCharType="end"/>
        </w:r>
      </w:hyperlink>
    </w:p>
    <w:p w14:paraId="04CBC819" w14:textId="5849FB7C" w:rsidR="009A1EF7" w:rsidRPr="00986BEB" w:rsidRDefault="00D106C7">
      <w:pPr>
        <w:pStyle w:val="TOC2"/>
        <w:rPr>
          <w:rFonts w:asciiTheme="minorHAnsi" w:eastAsiaTheme="minorEastAsia" w:hAnsiTheme="minorHAnsi"/>
          <w:sz w:val="22"/>
          <w:szCs w:val="22"/>
          <w:lang w:val="fr-CA" w:eastAsia="fr-CA"/>
        </w:rPr>
      </w:pPr>
      <w:hyperlink w:anchor="_Toc132874769" w:history="1">
        <w:r w:rsidR="009A1EF7" w:rsidRPr="00986BEB">
          <w:rPr>
            <w:rStyle w:val="Hyperlink"/>
            <w:lang w:val="fr-CA"/>
          </w:rPr>
          <w:t>6.11</w:t>
        </w:r>
        <w:r w:rsidR="009A1EF7" w:rsidRPr="00986BEB">
          <w:rPr>
            <w:rFonts w:asciiTheme="minorHAnsi" w:eastAsiaTheme="minorEastAsia" w:hAnsiTheme="minorHAnsi"/>
            <w:sz w:val="22"/>
            <w:szCs w:val="22"/>
            <w:lang w:val="fr-CA" w:eastAsia="fr-CA"/>
          </w:rPr>
          <w:tab/>
        </w:r>
        <w:r w:rsidR="009A1EF7" w:rsidRPr="00986BEB">
          <w:rPr>
            <w:rStyle w:val="Hyperlink"/>
            <w:lang w:val="fr-CA"/>
          </w:rPr>
          <w:t>Résolution des différends</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_Toc132874769 \h </w:instrText>
        </w:r>
        <w:r w:rsidR="009A1EF7" w:rsidRPr="00986BEB">
          <w:rPr>
            <w:webHidden/>
          </w:rPr>
        </w:r>
        <w:r w:rsidR="009A1EF7" w:rsidRPr="00986BEB">
          <w:rPr>
            <w:webHidden/>
          </w:rPr>
          <w:fldChar w:fldCharType="separate"/>
        </w:r>
        <w:r w:rsidR="00AE1D96">
          <w:rPr>
            <w:webHidden/>
          </w:rPr>
          <w:t>47</w:t>
        </w:r>
        <w:r w:rsidR="009A1EF7" w:rsidRPr="00986BEB">
          <w:rPr>
            <w:webHidden/>
          </w:rPr>
          <w:fldChar w:fldCharType="end"/>
        </w:r>
      </w:hyperlink>
    </w:p>
    <w:p w14:paraId="18C80E1F" w14:textId="5760E778" w:rsidR="009A1EF7" w:rsidRPr="00986BEB" w:rsidRDefault="00D106C7">
      <w:pPr>
        <w:pStyle w:val="TOC2"/>
        <w:rPr>
          <w:rFonts w:asciiTheme="minorHAnsi" w:eastAsiaTheme="minorEastAsia" w:hAnsiTheme="minorHAnsi"/>
          <w:sz w:val="22"/>
          <w:szCs w:val="22"/>
          <w:lang w:val="fr-CA" w:eastAsia="fr-CA"/>
        </w:rPr>
      </w:pPr>
      <w:hyperlink w:anchor="_Toc132874770" w:history="1">
        <w:r w:rsidR="009A1EF7" w:rsidRPr="00986BEB">
          <w:rPr>
            <w:rStyle w:val="Hyperlink"/>
            <w:lang w:val="fr-CA"/>
          </w:rPr>
          <w:t>6.12</w:t>
        </w:r>
        <w:r w:rsidR="009A1EF7" w:rsidRPr="00986BEB">
          <w:rPr>
            <w:rFonts w:asciiTheme="minorHAnsi" w:eastAsiaTheme="minorEastAsia" w:hAnsiTheme="minorHAnsi"/>
            <w:sz w:val="22"/>
            <w:szCs w:val="22"/>
            <w:lang w:val="fr-CA" w:eastAsia="fr-CA"/>
          </w:rPr>
          <w:tab/>
        </w:r>
        <w:r w:rsidR="009A1EF7" w:rsidRPr="00986BEB">
          <w:rPr>
            <w:rStyle w:val="Hyperlink"/>
            <w:lang w:val="fr-CA"/>
          </w:rPr>
          <w:t>Retards ou omissions.</w:t>
        </w:r>
        <w:r w:rsidR="009A1EF7" w:rsidRPr="00986BEB">
          <w:rPr>
            <w:webHidden/>
          </w:rPr>
          <w:tab/>
        </w:r>
        <w:r w:rsidR="009A1EF7" w:rsidRPr="00986BEB">
          <w:rPr>
            <w:webHidden/>
          </w:rPr>
          <w:fldChar w:fldCharType="begin"/>
        </w:r>
        <w:r w:rsidR="009A1EF7" w:rsidRPr="00986BEB">
          <w:rPr>
            <w:webHidden/>
          </w:rPr>
          <w:instrText xml:space="preserve"> PAGEREF _Toc132874770 \h </w:instrText>
        </w:r>
        <w:r w:rsidR="009A1EF7" w:rsidRPr="00986BEB">
          <w:rPr>
            <w:webHidden/>
          </w:rPr>
        </w:r>
        <w:r w:rsidR="009A1EF7" w:rsidRPr="00986BEB">
          <w:rPr>
            <w:webHidden/>
          </w:rPr>
          <w:fldChar w:fldCharType="separate"/>
        </w:r>
        <w:r w:rsidR="00AE1D96">
          <w:rPr>
            <w:webHidden/>
          </w:rPr>
          <w:t>49</w:t>
        </w:r>
        <w:r w:rsidR="009A1EF7" w:rsidRPr="00986BEB">
          <w:rPr>
            <w:webHidden/>
          </w:rPr>
          <w:fldChar w:fldCharType="end"/>
        </w:r>
      </w:hyperlink>
    </w:p>
    <w:p w14:paraId="4DD28717" w14:textId="0974FE25" w:rsidR="009A1EF7" w:rsidRPr="00986BEB" w:rsidRDefault="00D106C7">
      <w:pPr>
        <w:pStyle w:val="TOC2"/>
        <w:rPr>
          <w:rFonts w:asciiTheme="minorHAnsi" w:eastAsiaTheme="minorEastAsia" w:hAnsiTheme="minorHAnsi"/>
          <w:sz w:val="22"/>
          <w:szCs w:val="22"/>
          <w:lang w:val="fr-CA" w:eastAsia="fr-CA"/>
        </w:rPr>
      </w:pPr>
      <w:hyperlink w:anchor="_Toc132874771" w:history="1">
        <w:r w:rsidR="009A1EF7" w:rsidRPr="00986BEB">
          <w:rPr>
            <w:rStyle w:val="Hyperlink"/>
            <w:lang w:val="fr-CA"/>
          </w:rPr>
          <w:t>6.13</w:t>
        </w:r>
        <w:r w:rsidR="009A1EF7" w:rsidRPr="00986BEB">
          <w:rPr>
            <w:rFonts w:asciiTheme="minorHAnsi" w:eastAsiaTheme="minorEastAsia" w:hAnsiTheme="minorHAnsi"/>
            <w:sz w:val="22"/>
            <w:szCs w:val="22"/>
            <w:lang w:val="fr-CA" w:eastAsia="fr-CA"/>
          </w:rPr>
          <w:tab/>
        </w:r>
        <w:r w:rsidR="009A1EF7" w:rsidRPr="00986BEB">
          <w:rPr>
            <w:rStyle w:val="Hyperlink"/>
            <w:lang w:val="fr-CA"/>
          </w:rPr>
          <w:t>[Reconnaissance</w:t>
        </w:r>
        <w:r w:rsidR="009A1EF7" w:rsidRPr="00986BEB">
          <w:rPr>
            <w:rStyle w:val="Hyperlink"/>
            <w:snapToGrid w:val="0"/>
            <w:lang w:val="fr-CA"/>
          </w:rPr>
          <w:t>.</w:t>
        </w:r>
        <w:r w:rsidR="009A1EF7" w:rsidRPr="00986BEB">
          <w:rPr>
            <w:webHidden/>
          </w:rPr>
          <w:tab/>
        </w:r>
        <w:r w:rsidR="009A1EF7" w:rsidRPr="00986BEB">
          <w:rPr>
            <w:webHidden/>
          </w:rPr>
          <w:fldChar w:fldCharType="begin"/>
        </w:r>
        <w:r w:rsidR="009A1EF7" w:rsidRPr="00986BEB">
          <w:rPr>
            <w:webHidden/>
          </w:rPr>
          <w:instrText xml:space="preserve"> PAGEREF _Toc132874771 \h </w:instrText>
        </w:r>
        <w:r w:rsidR="009A1EF7" w:rsidRPr="00986BEB">
          <w:rPr>
            <w:webHidden/>
          </w:rPr>
        </w:r>
        <w:r w:rsidR="009A1EF7" w:rsidRPr="00986BEB">
          <w:rPr>
            <w:webHidden/>
          </w:rPr>
          <w:fldChar w:fldCharType="separate"/>
        </w:r>
        <w:r w:rsidR="00AE1D96">
          <w:rPr>
            <w:webHidden/>
          </w:rPr>
          <w:t>49</w:t>
        </w:r>
        <w:r w:rsidR="009A1EF7" w:rsidRPr="00986BEB">
          <w:rPr>
            <w:webHidden/>
          </w:rPr>
          <w:fldChar w:fldCharType="end"/>
        </w:r>
      </w:hyperlink>
    </w:p>
    <w:p w14:paraId="2095504E" w14:textId="7371A808" w:rsidR="009A1EF7" w:rsidRPr="00986BEB" w:rsidRDefault="00D106C7">
      <w:pPr>
        <w:pStyle w:val="TOC2"/>
        <w:rPr>
          <w:rFonts w:asciiTheme="minorHAnsi" w:eastAsiaTheme="minorEastAsia" w:hAnsiTheme="minorHAnsi"/>
          <w:sz w:val="22"/>
          <w:szCs w:val="22"/>
          <w:lang w:val="fr-CA" w:eastAsia="fr-CA"/>
        </w:rPr>
      </w:pPr>
      <w:hyperlink w:anchor="_Toc132874772" w:history="1">
        <w:r w:rsidR="009A1EF7" w:rsidRPr="00986BEB">
          <w:rPr>
            <w:rStyle w:val="Hyperlink"/>
            <w:lang w:val="fr-CA"/>
          </w:rPr>
          <w:t>6.14</w:t>
        </w:r>
        <w:r w:rsidR="009A1EF7" w:rsidRPr="00986BEB">
          <w:rPr>
            <w:rFonts w:asciiTheme="minorHAnsi" w:eastAsiaTheme="minorEastAsia" w:hAnsiTheme="minorHAnsi"/>
            <w:sz w:val="22"/>
            <w:szCs w:val="22"/>
            <w:lang w:val="fr-CA" w:eastAsia="fr-CA"/>
          </w:rPr>
          <w:tab/>
        </w:r>
        <w:r w:rsidR="009A1EF7" w:rsidRPr="00986BEB">
          <w:rPr>
            <w:rStyle w:val="Hyperlink"/>
            <w:lang w:val="fr-CA"/>
          </w:rPr>
          <w:t>[Convention unanime des actionnaires.</w:t>
        </w:r>
        <w:r w:rsidR="009A1EF7" w:rsidRPr="00986BEB">
          <w:rPr>
            <w:webHidden/>
          </w:rPr>
          <w:tab/>
        </w:r>
        <w:r w:rsidR="009A1EF7" w:rsidRPr="00986BEB">
          <w:rPr>
            <w:webHidden/>
          </w:rPr>
          <w:fldChar w:fldCharType="begin"/>
        </w:r>
        <w:r w:rsidR="009A1EF7" w:rsidRPr="00986BEB">
          <w:rPr>
            <w:webHidden/>
          </w:rPr>
          <w:instrText xml:space="preserve"> PAGEREF _Toc132874772 \h </w:instrText>
        </w:r>
        <w:r w:rsidR="009A1EF7" w:rsidRPr="00986BEB">
          <w:rPr>
            <w:webHidden/>
          </w:rPr>
        </w:r>
        <w:r w:rsidR="009A1EF7" w:rsidRPr="00986BEB">
          <w:rPr>
            <w:webHidden/>
          </w:rPr>
          <w:fldChar w:fldCharType="separate"/>
        </w:r>
        <w:r w:rsidR="00AE1D96">
          <w:rPr>
            <w:webHidden/>
          </w:rPr>
          <w:t>49</w:t>
        </w:r>
        <w:r w:rsidR="009A1EF7" w:rsidRPr="00986BEB">
          <w:rPr>
            <w:webHidden/>
          </w:rPr>
          <w:fldChar w:fldCharType="end"/>
        </w:r>
      </w:hyperlink>
    </w:p>
    <w:p w14:paraId="130D8152" w14:textId="1B3676BD" w:rsidR="00037C7E" w:rsidRDefault="009A1EF7">
      <w:pPr>
        <w:rPr>
          <w:color w:val="000000"/>
          <w:szCs w:val="16"/>
          <w:lang w:val="fr-CA"/>
        </w:rPr>
      </w:pPr>
      <w:r w:rsidRPr="00986BEB">
        <w:rPr>
          <w:b/>
          <w:caps/>
          <w:noProof/>
          <w:szCs w:val="16"/>
          <w:lang w:val="fr-CA"/>
        </w:rPr>
        <w:fldChar w:fldCharType="end"/>
      </w:r>
    </w:p>
    <w:p w14:paraId="0AB4B1C8" w14:textId="1CFDF7CF" w:rsidR="008F5616" w:rsidRDefault="008F5616">
      <w:pPr>
        <w:rPr>
          <w:lang w:val="fr-CA"/>
        </w:rPr>
      </w:pPr>
      <w:r>
        <w:rPr>
          <w:lang w:val="fr-CA"/>
        </w:rPr>
        <w:fldChar w:fldCharType="begin"/>
      </w:r>
      <w:r>
        <w:rPr>
          <w:lang w:val="fr-CA"/>
        </w:rPr>
        <w:instrText xml:space="preserve"> REF _Ref118363277 \w \h </w:instrText>
      </w:r>
      <w:r>
        <w:rPr>
          <w:lang w:val="fr-CA"/>
        </w:rPr>
      </w:r>
      <w:r>
        <w:rPr>
          <w:lang w:val="fr-CA"/>
        </w:rPr>
        <w:fldChar w:fldCharType="separate"/>
      </w:r>
      <w:r w:rsidR="00AE1D96">
        <w:rPr>
          <w:lang w:val="fr-CA"/>
        </w:rPr>
        <w:t>Annexe A</w:t>
      </w:r>
      <w:r>
        <w:rPr>
          <w:lang w:val="fr-CA"/>
        </w:rPr>
        <w:fldChar w:fldCharType="end"/>
      </w:r>
      <w:r>
        <w:rPr>
          <w:lang w:val="fr-CA"/>
        </w:rPr>
        <w:t xml:space="preserve"> </w:t>
      </w:r>
      <w:r>
        <w:rPr>
          <w:lang w:val="fr-CA"/>
        </w:rPr>
        <w:fldChar w:fldCharType="begin"/>
      </w:r>
      <w:r>
        <w:rPr>
          <w:lang w:val="fr-CA"/>
        </w:rPr>
        <w:instrText xml:space="preserve"> REF _Ref118363277 \h </w:instrText>
      </w:r>
      <w:r>
        <w:rPr>
          <w:lang w:val="fr-CA"/>
        </w:rPr>
      </w:r>
      <w:r>
        <w:rPr>
          <w:lang w:val="fr-CA"/>
        </w:rPr>
        <w:fldChar w:fldCharType="separate"/>
      </w:r>
      <w:r w:rsidR="00AE1D96" w:rsidRPr="009D4254">
        <w:rPr>
          <w:lang w:val="fr-CA"/>
        </w:rPr>
        <w:t>Investisseurs</w:t>
      </w:r>
      <w:r>
        <w:rPr>
          <w:lang w:val="fr-CA"/>
        </w:rPr>
        <w:fldChar w:fldCharType="end"/>
      </w:r>
      <w:r w:rsidRPr="0059083D">
        <w:rPr>
          <w:lang w:val="fr-CA"/>
        </w:rPr>
        <w:t xml:space="preserve"> </w:t>
      </w:r>
    </w:p>
    <w:p w14:paraId="0826DB18" w14:textId="7E8B0B9A" w:rsidR="008F5616" w:rsidRPr="0059083D" w:rsidRDefault="008F5616" w:rsidP="008F5616">
      <w:pPr>
        <w:spacing w:before="120"/>
        <w:rPr>
          <w:lang w:val="fr-CA"/>
        </w:rPr>
        <w:sectPr w:rsidR="008F5616" w:rsidRPr="0059083D">
          <w:headerReference w:type="default" r:id="rId16"/>
          <w:footerReference w:type="default" r:id="rId17"/>
          <w:headerReference w:type="first" r:id="rId18"/>
          <w:footerReference w:type="first" r:id="rId19"/>
          <w:pgSz w:w="12240" w:h="15840" w:code="1"/>
          <w:pgMar w:top="1440" w:right="1440" w:bottom="1440" w:left="1440" w:header="720" w:footer="432" w:gutter="0"/>
          <w:pgNumType w:start="1"/>
          <w:cols w:space="720"/>
          <w:titlePg/>
          <w:docGrid w:linePitch="360"/>
        </w:sectPr>
      </w:pPr>
      <w:r>
        <w:rPr>
          <w:lang w:val="fr-CA"/>
        </w:rPr>
        <w:fldChar w:fldCharType="begin"/>
      </w:r>
      <w:r>
        <w:rPr>
          <w:lang w:val="fr-CA"/>
        </w:rPr>
        <w:instrText xml:space="preserve"> REF _Ref132875615 \w \h </w:instrText>
      </w:r>
      <w:r>
        <w:rPr>
          <w:lang w:val="fr-CA"/>
        </w:rPr>
      </w:r>
      <w:r>
        <w:rPr>
          <w:lang w:val="fr-CA"/>
        </w:rPr>
        <w:fldChar w:fldCharType="separate"/>
      </w:r>
      <w:r w:rsidR="00AE1D96">
        <w:rPr>
          <w:lang w:val="fr-CA"/>
        </w:rPr>
        <w:t>Annexe B</w:t>
      </w:r>
      <w:r>
        <w:rPr>
          <w:lang w:val="fr-CA"/>
        </w:rPr>
        <w:fldChar w:fldCharType="end"/>
      </w:r>
      <w:r>
        <w:rPr>
          <w:lang w:val="fr-CA"/>
        </w:rPr>
        <w:t xml:space="preserve"> </w:t>
      </w:r>
      <w:r>
        <w:rPr>
          <w:lang w:val="fr-CA"/>
        </w:rPr>
        <w:fldChar w:fldCharType="begin"/>
      </w:r>
      <w:r>
        <w:rPr>
          <w:lang w:val="fr-CA"/>
        </w:rPr>
        <w:instrText xml:space="preserve"> REF _Ref132875615 \h </w:instrText>
      </w:r>
      <w:r>
        <w:rPr>
          <w:lang w:val="fr-CA"/>
        </w:rPr>
      </w:r>
      <w:r>
        <w:rPr>
          <w:lang w:val="fr-CA"/>
        </w:rPr>
        <w:fldChar w:fldCharType="separate"/>
      </w:r>
      <w:r w:rsidR="00AE1D96">
        <w:rPr>
          <w:lang w:val="fr-CA"/>
        </w:rPr>
        <w:t>[</w:t>
      </w:r>
      <w:r w:rsidR="00AE1D96" w:rsidRPr="009D4254">
        <w:rPr>
          <w:lang w:val="fr-CA"/>
        </w:rPr>
        <w:t>Porteurs clés</w:t>
      </w:r>
      <w:r w:rsidR="00AE1D96">
        <w:rPr>
          <w:lang w:val="fr-CA"/>
        </w:rPr>
        <w:t>]</w:t>
      </w:r>
      <w:r>
        <w:rPr>
          <w:lang w:val="fr-CA"/>
        </w:rPr>
        <w:fldChar w:fldCharType="end"/>
      </w:r>
    </w:p>
    <w:p w14:paraId="553CAD10" w14:textId="7CD7861A" w:rsidR="00037C7E" w:rsidRPr="0059083D" w:rsidRDefault="000B08F2">
      <w:pPr>
        <w:pStyle w:val="MainDocumentTitle-CB"/>
        <w:rPr>
          <w:color w:val="000000"/>
          <w:lang w:val="fr-CA"/>
        </w:rPr>
      </w:pPr>
      <w:r w:rsidRPr="009D4254">
        <w:rPr>
          <w:lang w:val="fr-CA"/>
        </w:rPr>
        <w:lastRenderedPageBreak/>
        <w:t xml:space="preserve">CONVENTION RELATIVE AUX DROITS DES INVESTISSEURS </w:t>
      </w:r>
      <w:r w:rsidRPr="009D4254">
        <w:rPr>
          <w:lang w:val="fr-CA"/>
        </w:rPr>
        <w:br/>
        <w:t>[MODIFIÉE ET MISE À JOUR</w:t>
      </w:r>
      <w:r w:rsidRPr="0059083D">
        <w:rPr>
          <w:lang w:val="fr-CA"/>
        </w:rPr>
        <w:t>]</w:t>
      </w:r>
    </w:p>
    <w:p w14:paraId="13C81129" w14:textId="5A7DD401" w:rsidR="00037C7E" w:rsidRPr="0059083D" w:rsidRDefault="000B08F2">
      <w:pPr>
        <w:pStyle w:val="BodyText-FLI-10"/>
        <w:rPr>
          <w:lang w:val="fr-CA"/>
        </w:rPr>
      </w:pPr>
      <w:r w:rsidRPr="0059083D">
        <w:rPr>
          <w:lang w:val="fr-CA"/>
        </w:rPr>
        <w:t>LA PRÉSENTE CONVENTION RELATIVE AUX DROITS DES INVESTISSEURS [MODIFIÉE ET MISE À JOUR] (la présente « </w:t>
      </w:r>
      <w:r w:rsidRPr="0059083D">
        <w:rPr>
          <w:b/>
          <w:lang w:val="fr-CA"/>
        </w:rPr>
        <w:t>Convention</w:t>
      </w:r>
      <w:r w:rsidRPr="0059083D">
        <w:rPr>
          <w:lang w:val="fr-CA"/>
        </w:rPr>
        <w:t> ») intervient en date du [___________ </w:t>
      </w:r>
      <w:r w:rsidRPr="00986BEB">
        <w:rPr>
          <w:lang w:val="fr-CA"/>
        </w:rPr>
        <w:t>20</w:t>
      </w:r>
      <w:r w:rsidRPr="0059083D">
        <w:rPr>
          <w:lang w:val="fr-CA"/>
        </w:rPr>
        <w:t>__] entre [________], société</w:t>
      </w:r>
      <w:r w:rsidR="00843630">
        <w:rPr>
          <w:lang w:val="fr-CA"/>
        </w:rPr>
        <w:t xml:space="preserve"> par actions</w:t>
      </w:r>
      <w:r w:rsidRPr="0059083D">
        <w:rPr>
          <w:lang w:val="fr-CA"/>
        </w:rPr>
        <w:t xml:space="preserve"> régie par les lois </w:t>
      </w:r>
      <w:r w:rsidRPr="0059083D">
        <w:rPr>
          <w:b/>
          <w:lang w:val="fr-CA"/>
        </w:rPr>
        <w:t xml:space="preserve">[du Canada/de </w:t>
      </w:r>
      <w:r w:rsidRPr="0059083D">
        <w:rPr>
          <w:b/>
          <w:i/>
          <w:lang w:val="fr-CA"/>
        </w:rPr>
        <w:t xml:space="preserve">province] </w:t>
      </w:r>
      <w:r w:rsidRPr="0059083D">
        <w:rPr>
          <w:lang w:val="fr-CA"/>
        </w:rPr>
        <w:t>(la « </w:t>
      </w:r>
      <w:r w:rsidRPr="0059083D">
        <w:rPr>
          <w:b/>
          <w:lang w:val="fr-CA"/>
        </w:rPr>
        <w:t>Société</w:t>
      </w:r>
      <w:r w:rsidRPr="0059083D">
        <w:rPr>
          <w:lang w:val="fr-CA"/>
        </w:rPr>
        <w:t xml:space="preserve"> »), [et] chacun des investisseurs </w:t>
      </w:r>
      <w:r w:rsidR="007A28FE">
        <w:rPr>
          <w:lang w:val="fr-CA"/>
        </w:rPr>
        <w:t>indiqués</w:t>
      </w:r>
      <w:r w:rsidRPr="0059083D">
        <w:rPr>
          <w:lang w:val="fr-CA"/>
        </w:rPr>
        <w:t xml:space="preserve"> à l’</w:t>
      </w:r>
      <w:r w:rsidR="00D923EE" w:rsidRPr="00D923EE">
        <w:rPr>
          <w:u w:val="single"/>
          <w:lang w:val="fr-CA"/>
        </w:rPr>
        <w:fldChar w:fldCharType="begin"/>
      </w:r>
      <w:r w:rsidR="00D923EE" w:rsidRPr="00D923EE">
        <w:rPr>
          <w:u w:val="single"/>
          <w:lang w:val="fr-CA"/>
        </w:rPr>
        <w:instrText xml:space="preserve"> REF _Ref118363277 \r \h </w:instrText>
      </w:r>
      <w:r w:rsidR="00D923EE">
        <w:rPr>
          <w:u w:val="single"/>
          <w:lang w:val="fr-CA"/>
        </w:rPr>
        <w:instrText xml:space="preserve"> \* MERGEFORMAT </w:instrText>
      </w:r>
      <w:r w:rsidR="00D923EE" w:rsidRPr="00D923EE">
        <w:rPr>
          <w:u w:val="single"/>
          <w:lang w:val="fr-CA"/>
        </w:rPr>
      </w:r>
      <w:r w:rsidR="00D923EE" w:rsidRPr="00D923EE">
        <w:rPr>
          <w:u w:val="single"/>
          <w:lang w:val="fr-CA"/>
        </w:rPr>
        <w:fldChar w:fldCharType="separate"/>
      </w:r>
      <w:r w:rsidR="00AE1D96">
        <w:rPr>
          <w:u w:val="single"/>
          <w:lang w:val="fr-CA"/>
        </w:rPr>
        <w:t>Annexe A</w:t>
      </w:r>
      <w:r w:rsidR="00D923EE" w:rsidRPr="00D923EE">
        <w:rPr>
          <w:u w:val="single"/>
          <w:lang w:val="fr-CA"/>
        </w:rPr>
        <w:fldChar w:fldCharType="end"/>
      </w:r>
      <w:r w:rsidRPr="0059083D">
        <w:rPr>
          <w:lang w:val="fr-CA"/>
        </w:rPr>
        <w:t xml:space="preserve"> des présentes, chacun d’eux étant appelé dans la présente Convention un « </w:t>
      </w:r>
      <w:r w:rsidRPr="0059083D">
        <w:rPr>
          <w:b/>
          <w:lang w:val="fr-CA"/>
        </w:rPr>
        <w:t>Investisseur</w:t>
      </w:r>
      <w:r w:rsidRPr="0059083D">
        <w:rPr>
          <w:lang w:val="fr-CA"/>
        </w:rPr>
        <w:t xml:space="preserve"> »[, et chacun des actionnaires </w:t>
      </w:r>
      <w:r w:rsidR="007A28FE">
        <w:rPr>
          <w:lang w:val="fr-CA"/>
        </w:rPr>
        <w:t>indiqués</w:t>
      </w:r>
      <w:r w:rsidR="007A28FE" w:rsidRPr="0059083D">
        <w:rPr>
          <w:lang w:val="fr-CA"/>
        </w:rPr>
        <w:t xml:space="preserve"> </w:t>
      </w:r>
      <w:r w:rsidRPr="0059083D">
        <w:rPr>
          <w:lang w:val="fr-CA"/>
        </w:rPr>
        <w:t>à l’</w:t>
      </w:r>
      <w:r w:rsidRPr="0059083D">
        <w:rPr>
          <w:u w:val="single"/>
          <w:lang w:val="fr-CA"/>
        </w:rPr>
        <w:fldChar w:fldCharType="begin"/>
      </w:r>
      <w:r w:rsidRPr="0059083D">
        <w:rPr>
          <w:u w:val="single"/>
          <w:lang w:val="fr-CA"/>
        </w:rPr>
        <w:instrText xml:space="preserve">  REF _Ref448380673 \w \h \* MERGEFORMAT </w:instrText>
      </w:r>
      <w:r w:rsidRPr="0059083D">
        <w:rPr>
          <w:u w:val="single"/>
          <w:lang w:val="fr-CA"/>
        </w:rPr>
      </w:r>
      <w:r w:rsidRPr="0059083D">
        <w:rPr>
          <w:u w:val="single"/>
          <w:lang w:val="fr-CA"/>
        </w:rPr>
        <w:fldChar w:fldCharType="separate"/>
      </w:r>
      <w:r w:rsidR="00AE1D96" w:rsidRPr="00AE1D96">
        <w:rPr>
          <w:color w:val="000000"/>
          <w:u w:val="single"/>
          <w:lang w:val="fr-CA"/>
        </w:rPr>
        <w:t>Annexe B</w:t>
      </w:r>
      <w:r w:rsidRPr="0059083D">
        <w:rPr>
          <w:u w:val="single"/>
          <w:lang w:val="fr-CA"/>
        </w:rPr>
        <w:fldChar w:fldCharType="end"/>
      </w:r>
      <w:r w:rsidRPr="0059083D">
        <w:rPr>
          <w:lang w:val="fr-CA"/>
        </w:rPr>
        <w:t xml:space="preserve"> des présentes, chacun d’eux étant appelé aux présentes un « </w:t>
      </w:r>
      <w:r w:rsidRPr="0059083D">
        <w:rPr>
          <w:b/>
          <w:lang w:val="fr-CA"/>
        </w:rPr>
        <w:t>Porteur clé</w:t>
      </w:r>
      <w:r w:rsidRPr="0059083D">
        <w:rPr>
          <w:lang w:val="fr-CA"/>
        </w:rPr>
        <w:t> »].</w:t>
      </w:r>
    </w:p>
    <w:p w14:paraId="7D471D45" w14:textId="5E4C38A0" w:rsidR="00037C7E" w:rsidRPr="009D4254" w:rsidRDefault="000B08F2">
      <w:pPr>
        <w:pStyle w:val="MainSub-Title-CBU"/>
        <w:rPr>
          <w:color w:val="000000"/>
          <w:lang w:val="fr-CA"/>
        </w:rPr>
      </w:pPr>
      <w:r w:rsidRPr="009D4254">
        <w:rPr>
          <w:lang w:val="fr-CA"/>
        </w:rPr>
        <w:t>PRÉAMBULE</w:t>
      </w:r>
    </w:p>
    <w:p w14:paraId="2C3AD5EE" w14:textId="275A1C29" w:rsidR="00037C7E" w:rsidRPr="0059083D" w:rsidRDefault="000B08F2">
      <w:pPr>
        <w:pStyle w:val="BodyText-FLI-10"/>
        <w:rPr>
          <w:szCs w:val="16"/>
          <w:lang w:val="fr-CA"/>
        </w:rPr>
      </w:pPr>
      <w:r w:rsidRPr="009D4254">
        <w:rPr>
          <w:lang w:val="fr-CA"/>
        </w:rPr>
        <w:t>[</w:t>
      </w:r>
      <w:r w:rsidR="000A7A64">
        <w:rPr>
          <w:i/>
          <w:iCs/>
          <w:lang w:val="fr-CA"/>
        </w:rPr>
        <w:t>Première v</w:t>
      </w:r>
      <w:r w:rsidRPr="009D4254">
        <w:rPr>
          <w:i/>
          <w:iCs/>
          <w:lang w:val="fr-CA"/>
        </w:rPr>
        <w:t>ariant</w:t>
      </w:r>
      <w:r w:rsidR="007A28FE">
        <w:rPr>
          <w:i/>
          <w:iCs/>
          <w:lang w:val="fr-CA"/>
        </w:rPr>
        <w:t>e</w:t>
      </w:r>
      <w:bookmarkStart w:id="2" w:name="_Ref448380675"/>
      <w:r w:rsidR="00406376" w:rsidRPr="00986BEB">
        <w:rPr>
          <w:rStyle w:val="FootnoteReference"/>
          <w:lang w:val="fr-CA"/>
        </w:rPr>
        <w:footnoteReference w:id="1"/>
      </w:r>
      <w:bookmarkEnd w:id="2"/>
      <w:r w:rsidRPr="009D4254">
        <w:rPr>
          <w:i/>
          <w:iCs/>
          <w:lang w:val="fr-CA"/>
        </w:rPr>
        <w:t> </w:t>
      </w:r>
      <w:r w:rsidRPr="009D4254">
        <w:rPr>
          <w:lang w:val="fr-CA"/>
        </w:rPr>
        <w:t>:</w:t>
      </w:r>
    </w:p>
    <w:p w14:paraId="682DDAA8" w14:textId="78B624E1" w:rsidR="00037C7E" w:rsidRPr="009D4254" w:rsidRDefault="000B08F2">
      <w:pPr>
        <w:pStyle w:val="BodyText-FLI-10"/>
        <w:rPr>
          <w:lang w:val="fr-CA"/>
        </w:rPr>
      </w:pPr>
      <w:r w:rsidRPr="009D4254">
        <w:rPr>
          <w:b/>
          <w:lang w:val="fr-CA"/>
        </w:rPr>
        <w:t>ATTENDU QUE</w:t>
      </w:r>
      <w:r w:rsidRPr="009D4254">
        <w:rPr>
          <w:lang w:val="fr-CA"/>
        </w:rPr>
        <w:t xml:space="preserve"> la Société et les Investisseurs sont parties à une Convention d’achat d’actions privilégiées de catégorie A portant la même date que les présentes (la « </w:t>
      </w:r>
      <w:r w:rsidRPr="009D4254">
        <w:rPr>
          <w:b/>
          <w:lang w:val="fr-CA"/>
        </w:rPr>
        <w:t>Convention d’achat</w:t>
      </w:r>
      <w:r w:rsidRPr="009D4254">
        <w:rPr>
          <w:lang w:val="fr-CA"/>
        </w:rPr>
        <w:t xml:space="preserve"> »); </w:t>
      </w:r>
    </w:p>
    <w:p w14:paraId="422A5F02" w14:textId="14DA828D" w:rsidR="00037C7E" w:rsidRPr="0059083D" w:rsidRDefault="000B08F2">
      <w:pPr>
        <w:pStyle w:val="BodyText-FLI-10"/>
        <w:rPr>
          <w:lang w:val="fr-CA"/>
        </w:rPr>
      </w:pPr>
      <w:r w:rsidRPr="0059083D">
        <w:rPr>
          <w:b/>
          <w:lang w:val="fr-CA"/>
        </w:rPr>
        <w:t>ATTENDU QUE</w:t>
      </w:r>
      <w:r w:rsidRPr="0059083D">
        <w:rPr>
          <w:lang w:val="fr-CA"/>
        </w:rPr>
        <w:t xml:space="preserve">, afin d’inciter la Société à conclure la Convention d’achat et d’inciter les Investisseurs à investir des fonds dans la Société conformément à la Convention d’achat, les Investisseurs et la </w:t>
      </w:r>
      <w:r w:rsidR="00045D3D">
        <w:rPr>
          <w:lang w:val="fr-CA"/>
        </w:rPr>
        <w:t xml:space="preserve">Société </w:t>
      </w:r>
      <w:r w:rsidRPr="0059083D">
        <w:rPr>
          <w:lang w:val="fr-CA"/>
        </w:rPr>
        <w:t>conviennent par les présentes que la présente Convention régit le droit des Investisseurs d</w:t>
      </w:r>
      <w:r w:rsidR="00045D3D">
        <w:rPr>
          <w:lang w:val="fr-CA"/>
        </w:rPr>
        <w:t xml:space="preserve">e demander à </w:t>
      </w:r>
      <w:r w:rsidRPr="0059083D">
        <w:rPr>
          <w:lang w:val="fr-CA"/>
        </w:rPr>
        <w:t xml:space="preserve">la Société </w:t>
      </w:r>
      <w:r w:rsidR="00045D3D">
        <w:rPr>
          <w:lang w:val="fr-CA"/>
        </w:rPr>
        <w:t xml:space="preserve">d’inscrire </w:t>
      </w:r>
      <w:r w:rsidRPr="0059083D">
        <w:rPr>
          <w:lang w:val="fr-CA"/>
        </w:rPr>
        <w:t xml:space="preserve">les Actions ordinaires pouvant être émises en leur faveur, de recevoir certains renseignements de la Société et de participer aux placements </w:t>
      </w:r>
      <w:r w:rsidR="00045D3D" w:rsidRPr="0018173C">
        <w:rPr>
          <w:lang w:val="fr-CA"/>
        </w:rPr>
        <w:t>d</w:t>
      </w:r>
      <w:r w:rsidR="0018173C" w:rsidRPr="0018173C">
        <w:rPr>
          <w:lang w:val="fr-CA"/>
        </w:rPr>
        <w:t>e titres de capitaux propres</w:t>
      </w:r>
      <w:r w:rsidRPr="0018173C">
        <w:rPr>
          <w:lang w:val="fr-CA"/>
        </w:rPr>
        <w:t xml:space="preserve"> futurs</w:t>
      </w:r>
      <w:r w:rsidRPr="0059083D">
        <w:rPr>
          <w:lang w:val="fr-CA"/>
        </w:rPr>
        <w:t xml:space="preserve"> de la Société, et régit certaines autres questions énoncées dans la présente Convention;</w:t>
      </w:r>
    </w:p>
    <w:p w14:paraId="6E8BB2DB" w14:textId="60183912" w:rsidR="00037C7E" w:rsidRPr="009D4254" w:rsidRDefault="000B08F2">
      <w:pPr>
        <w:pStyle w:val="BodyText-FLI-10"/>
        <w:rPr>
          <w:lang w:val="fr-CA"/>
        </w:rPr>
      </w:pPr>
      <w:r w:rsidRPr="009D4254">
        <w:rPr>
          <w:b/>
          <w:lang w:val="fr-CA"/>
        </w:rPr>
        <w:t>PAR CONSÉQUENT</w:t>
      </w:r>
      <w:r w:rsidRPr="009D4254">
        <w:rPr>
          <w:lang w:val="fr-CA"/>
        </w:rPr>
        <w:t>, les parties conviennent par les présentes de ce qui suit</w:t>
      </w:r>
      <w:r w:rsidRPr="009D4254">
        <w:rPr>
          <w:b/>
          <w:lang w:val="fr-CA"/>
        </w:rPr>
        <w:t> </w:t>
      </w:r>
      <w:r w:rsidRPr="009D4254">
        <w:rPr>
          <w:lang w:val="fr-CA"/>
        </w:rPr>
        <w:t>:]</w:t>
      </w:r>
    </w:p>
    <w:p w14:paraId="00596151" w14:textId="4CD4EF91" w:rsidR="00037C7E" w:rsidRPr="0059083D" w:rsidRDefault="000B08F2">
      <w:pPr>
        <w:pStyle w:val="BodyText-FLI-10"/>
        <w:rPr>
          <w:lang w:val="fr-CA"/>
        </w:rPr>
      </w:pPr>
      <w:r w:rsidRPr="009D4254">
        <w:rPr>
          <w:lang w:val="fr-CA"/>
        </w:rPr>
        <w:t>[</w:t>
      </w:r>
      <w:r w:rsidR="000A7A64">
        <w:rPr>
          <w:i/>
          <w:iCs/>
          <w:lang w:val="fr-CA"/>
        </w:rPr>
        <w:t>Deuxième v</w:t>
      </w:r>
      <w:r w:rsidRPr="009D4254">
        <w:rPr>
          <w:i/>
          <w:iCs/>
          <w:lang w:val="fr-CA"/>
        </w:rPr>
        <w:t>ariante</w:t>
      </w:r>
      <w:bookmarkStart w:id="3" w:name="_Ref448380676"/>
      <w:r w:rsidR="00406376" w:rsidRPr="00986BEB">
        <w:rPr>
          <w:rStyle w:val="FootnoteReference"/>
          <w:lang w:val="fr-CA"/>
        </w:rPr>
        <w:footnoteReference w:id="2"/>
      </w:r>
      <w:bookmarkEnd w:id="3"/>
      <w:r w:rsidRPr="009D4254">
        <w:rPr>
          <w:i/>
          <w:iCs/>
          <w:lang w:val="fr-CA"/>
        </w:rPr>
        <w:t> </w:t>
      </w:r>
      <w:r w:rsidRPr="009D4254">
        <w:rPr>
          <w:lang w:val="fr-CA"/>
        </w:rPr>
        <w:t>:</w:t>
      </w:r>
    </w:p>
    <w:p w14:paraId="7FF7074F" w14:textId="00B861D4" w:rsidR="00037C7E" w:rsidRPr="0059083D" w:rsidRDefault="000B08F2">
      <w:pPr>
        <w:pStyle w:val="BodyText-FLI-10"/>
        <w:rPr>
          <w:lang w:val="fr-CA"/>
        </w:rPr>
      </w:pPr>
      <w:r w:rsidRPr="0059083D">
        <w:rPr>
          <w:b/>
          <w:lang w:val="fr-CA"/>
        </w:rPr>
        <w:t xml:space="preserve">ATTENDU QUE </w:t>
      </w:r>
      <w:r w:rsidRPr="0059083D">
        <w:rPr>
          <w:lang w:val="fr-CA"/>
        </w:rPr>
        <w:t>certains des Investisseurs (les « </w:t>
      </w:r>
      <w:r w:rsidRPr="0059083D">
        <w:rPr>
          <w:b/>
          <w:lang w:val="fr-CA"/>
        </w:rPr>
        <w:t>Investisseurs existants</w:t>
      </w:r>
      <w:r w:rsidRPr="0059083D">
        <w:rPr>
          <w:lang w:val="fr-CA"/>
        </w:rPr>
        <w:t xml:space="preserve"> ») détiennent des Actions privilégiées [de catégorie [_]] et/ou des Actions ordinaires émises à la conversion de celles-ci et </w:t>
      </w:r>
      <w:r w:rsidR="000A7A64">
        <w:rPr>
          <w:lang w:val="fr-CA"/>
        </w:rPr>
        <w:t xml:space="preserve">disposent de </w:t>
      </w:r>
      <w:r w:rsidRPr="0059083D">
        <w:rPr>
          <w:lang w:val="fr-CA"/>
        </w:rPr>
        <w:t>droits d’inscription, de droits à l’information, de droits de première offre et d’autres droits en vertu d’une Convention relative aux droits des investisseurs intervenue en date du [__ _________ </w:t>
      </w:r>
      <w:r w:rsidRPr="00986BEB">
        <w:rPr>
          <w:lang w:val="fr-CA"/>
        </w:rPr>
        <w:t>20</w:t>
      </w:r>
      <w:r w:rsidRPr="0059083D">
        <w:rPr>
          <w:lang w:val="fr-CA"/>
        </w:rPr>
        <w:t>__] entre la Société et ces Investisseurs existants (la « </w:t>
      </w:r>
      <w:r w:rsidRPr="0059083D">
        <w:rPr>
          <w:b/>
          <w:lang w:val="fr-CA"/>
        </w:rPr>
        <w:t>Convention antérieure</w:t>
      </w:r>
      <w:r w:rsidRPr="0059083D">
        <w:rPr>
          <w:lang w:val="fr-CA"/>
        </w:rPr>
        <w:t xml:space="preserve"> »); </w:t>
      </w:r>
    </w:p>
    <w:p w14:paraId="42E06C51" w14:textId="1B8A0ADE" w:rsidR="00037C7E" w:rsidRPr="0059083D" w:rsidRDefault="000B08F2">
      <w:pPr>
        <w:pStyle w:val="BodyText-FLI-10"/>
        <w:rPr>
          <w:lang w:val="fr-CA"/>
        </w:rPr>
      </w:pPr>
      <w:r w:rsidRPr="0059083D">
        <w:rPr>
          <w:b/>
          <w:lang w:val="fr-CA"/>
        </w:rPr>
        <w:t>ATTENDU QUE</w:t>
      </w:r>
      <w:r w:rsidRPr="0059083D">
        <w:rPr>
          <w:lang w:val="fr-CA"/>
        </w:rPr>
        <w:t xml:space="preserve"> les Investisseurs existants sont porteurs d’au moins [_______ pour cent (___ %)] des </w:t>
      </w:r>
      <w:r w:rsidR="0006561D" w:rsidRPr="0059083D">
        <w:rPr>
          <w:lang w:val="fr-CA"/>
        </w:rPr>
        <w:t>Titres à inscrire</w:t>
      </w:r>
      <w:r w:rsidRPr="0059083D">
        <w:rPr>
          <w:lang w:val="fr-CA"/>
        </w:rPr>
        <w:t xml:space="preserve"> (</w:t>
      </w:r>
      <w:r w:rsidR="008374D8">
        <w:rPr>
          <w:lang w:val="fr-CA"/>
        </w:rPr>
        <w:t xml:space="preserve">au sens donné à </w:t>
      </w:r>
      <w:r w:rsidR="00620F41">
        <w:rPr>
          <w:i/>
          <w:iCs/>
          <w:lang w:val="fr-CA"/>
        </w:rPr>
        <w:t>Registrable Securities</w:t>
      </w:r>
      <w:r w:rsidRPr="0059083D">
        <w:rPr>
          <w:lang w:val="fr-CA"/>
        </w:rPr>
        <w:t xml:space="preserve"> dans la Convention antérieure) et souhaitent [modifier et mettre à jour]</w:t>
      </w:r>
      <w:r w:rsidR="00604EAF">
        <w:rPr>
          <w:lang w:val="fr-CA"/>
        </w:rPr>
        <w:t xml:space="preserve"> </w:t>
      </w:r>
      <w:r w:rsidRPr="0059083D">
        <w:rPr>
          <w:lang w:val="fr-CA"/>
        </w:rPr>
        <w:t xml:space="preserve">[résilier] la Convention antérieure dans son intégralité et accepter les droits créés </w:t>
      </w:r>
      <w:r w:rsidR="00503DD0">
        <w:rPr>
          <w:lang w:val="fr-CA"/>
        </w:rPr>
        <w:t xml:space="preserve">en vertu </w:t>
      </w:r>
      <w:r w:rsidRPr="0059083D">
        <w:rPr>
          <w:lang w:val="fr-CA"/>
        </w:rPr>
        <w:t xml:space="preserve">de la présente Convention en remplacement des droits qui leur étaient accordés </w:t>
      </w:r>
      <w:r w:rsidR="00503DD0">
        <w:rPr>
          <w:lang w:val="fr-CA"/>
        </w:rPr>
        <w:t>en vertu</w:t>
      </w:r>
      <w:r w:rsidRPr="0059083D">
        <w:rPr>
          <w:lang w:val="fr-CA"/>
        </w:rPr>
        <w:t xml:space="preserve"> de la Convention antérieure; </w:t>
      </w:r>
    </w:p>
    <w:p w14:paraId="36A84900" w14:textId="600CD265" w:rsidR="00037C7E" w:rsidRPr="0059083D" w:rsidRDefault="000B08F2">
      <w:pPr>
        <w:pStyle w:val="BodyText-FLI-10"/>
        <w:rPr>
          <w:szCs w:val="20"/>
          <w:lang w:val="fr-CA"/>
        </w:rPr>
      </w:pPr>
      <w:r w:rsidRPr="0059083D">
        <w:rPr>
          <w:b/>
          <w:szCs w:val="20"/>
          <w:lang w:val="fr-CA"/>
        </w:rPr>
        <w:t>ATTENDU QUE</w:t>
      </w:r>
      <w:r w:rsidRPr="0059083D">
        <w:rPr>
          <w:szCs w:val="20"/>
          <w:lang w:val="fr-CA"/>
        </w:rPr>
        <w:t xml:space="preserve"> certain</w:t>
      </w:r>
      <w:r w:rsidR="00503DD0">
        <w:rPr>
          <w:szCs w:val="20"/>
          <w:lang w:val="fr-CA"/>
        </w:rPr>
        <w:t>s</w:t>
      </w:r>
      <w:r w:rsidRPr="0059083D">
        <w:rPr>
          <w:szCs w:val="20"/>
          <w:lang w:val="fr-CA"/>
        </w:rPr>
        <w:t xml:space="preserve"> des Investisseurs sont partie à une Convention d’achat d’actions privilégiées de catégorie [_] intervenue à la même date que les présentes entre la Société et ces Investisseurs (la « </w:t>
      </w:r>
      <w:r w:rsidRPr="0059083D">
        <w:rPr>
          <w:b/>
          <w:szCs w:val="20"/>
          <w:lang w:val="fr-CA"/>
        </w:rPr>
        <w:t>Convention d’achat</w:t>
      </w:r>
      <w:r w:rsidRPr="0059083D">
        <w:rPr>
          <w:szCs w:val="20"/>
          <w:lang w:val="fr-CA"/>
        </w:rPr>
        <w:t xml:space="preserve"> »), aux termes de laquelle certaines des obligations de la Société et de ces Investisseurs sont subordonnées à la signature et à la remise de la présente Convention par ces Investisseurs, </w:t>
      </w:r>
      <w:r w:rsidR="002F20BB">
        <w:rPr>
          <w:szCs w:val="20"/>
          <w:lang w:val="fr-CA"/>
        </w:rPr>
        <w:t xml:space="preserve">par </w:t>
      </w:r>
      <w:r w:rsidRPr="0059083D">
        <w:rPr>
          <w:szCs w:val="20"/>
          <w:lang w:val="fr-CA"/>
        </w:rPr>
        <w:t xml:space="preserve">des Investisseurs existants détenant au moins [_______ pour cent (___ %)] </w:t>
      </w:r>
      <w:r w:rsidRPr="0018173C">
        <w:rPr>
          <w:szCs w:val="20"/>
          <w:lang w:val="fr-CA"/>
        </w:rPr>
        <w:t xml:space="preserve">des </w:t>
      </w:r>
      <w:r w:rsidR="0006561D" w:rsidRPr="0018173C">
        <w:rPr>
          <w:szCs w:val="20"/>
          <w:lang w:val="fr-CA"/>
        </w:rPr>
        <w:t>Titres à inscrire</w:t>
      </w:r>
      <w:r w:rsidRPr="0059083D">
        <w:rPr>
          <w:szCs w:val="20"/>
          <w:lang w:val="fr-CA"/>
        </w:rPr>
        <w:t xml:space="preserve"> et </w:t>
      </w:r>
      <w:r w:rsidR="002F20BB">
        <w:rPr>
          <w:szCs w:val="20"/>
          <w:lang w:val="fr-CA"/>
        </w:rPr>
        <w:t xml:space="preserve">par </w:t>
      </w:r>
      <w:r w:rsidRPr="0059083D">
        <w:rPr>
          <w:szCs w:val="20"/>
          <w:lang w:val="fr-CA"/>
        </w:rPr>
        <w:t>la Société;</w:t>
      </w:r>
    </w:p>
    <w:p w14:paraId="71055C37" w14:textId="315406C4" w:rsidR="00037C7E" w:rsidRPr="0059083D" w:rsidRDefault="000B08F2">
      <w:pPr>
        <w:pStyle w:val="BodyText-FLI-10"/>
        <w:rPr>
          <w:szCs w:val="20"/>
          <w:lang w:val="fr-CA"/>
        </w:rPr>
      </w:pPr>
      <w:r w:rsidRPr="0059083D">
        <w:rPr>
          <w:b/>
          <w:szCs w:val="20"/>
          <w:lang w:val="fr-CA"/>
        </w:rPr>
        <w:t>PAR CONSÉQUENT</w:t>
      </w:r>
      <w:r w:rsidRPr="0059083D">
        <w:rPr>
          <w:szCs w:val="20"/>
          <w:lang w:val="fr-CA"/>
        </w:rPr>
        <w:t>, les Investisseurs existants conviennent par les présentes que la Convention antérieure est par les présentes modifiée et mise à jour dans son intégralité par la présente Convention, et les parties à la présente Convention conviennent également de ce qui suit :]</w:t>
      </w:r>
    </w:p>
    <w:p w14:paraId="75AF944D" w14:textId="311DAF28" w:rsidR="00037C7E" w:rsidRPr="00986BEB" w:rsidRDefault="000B08F2">
      <w:pPr>
        <w:pStyle w:val="StandardL1"/>
        <w:rPr>
          <w:lang w:val="fr-CA"/>
        </w:rPr>
      </w:pPr>
      <w:bookmarkStart w:id="4" w:name="_Toc132874715"/>
      <w:bookmarkStart w:id="5" w:name="_Ref448380511"/>
      <w:r w:rsidRPr="009D4254">
        <w:rPr>
          <w:lang w:val="fr-CA"/>
        </w:rPr>
        <w:t>Définitions</w:t>
      </w:r>
      <w:r w:rsidRPr="009D4254">
        <w:rPr>
          <w:snapToGrid w:val="0"/>
          <w:szCs w:val="16"/>
          <w:lang w:val="fr-CA"/>
        </w:rPr>
        <w:t>.</w:t>
      </w:r>
      <w:bookmarkEnd w:id="4"/>
    </w:p>
    <w:p w14:paraId="26221937" w14:textId="77777777" w:rsidR="00D26E01" w:rsidRDefault="000B08F2">
      <w:pPr>
        <w:pStyle w:val="StandardCont1"/>
        <w:rPr>
          <w:snapToGrid w:val="0"/>
          <w:lang w:val="fr-CA"/>
        </w:rPr>
      </w:pPr>
      <w:r w:rsidRPr="009D4254">
        <w:rPr>
          <w:snapToGrid w:val="0"/>
          <w:lang w:val="fr-CA"/>
        </w:rPr>
        <w:t>Pour l’application de la présente Convention :</w:t>
      </w:r>
      <w:bookmarkEnd w:id="5"/>
      <w:r w:rsidRPr="0059083D">
        <w:rPr>
          <w:snapToGrid w:val="0"/>
          <w:lang w:val="fr-CA"/>
        </w:rPr>
        <w:t xml:space="preserve"> </w:t>
      </w:r>
    </w:p>
    <w:p w14:paraId="726E6363" w14:textId="77777777" w:rsidR="00DF5CF9" w:rsidRPr="00986BEB" w:rsidRDefault="00DF5CF9">
      <w:pPr>
        <w:pStyle w:val="DefinitionL1"/>
        <w:rPr>
          <w:lang w:val="fr-CA"/>
        </w:rPr>
      </w:pPr>
      <w:bookmarkStart w:id="6" w:name="_Ref448380517"/>
      <w:r w:rsidRPr="009D4254">
        <w:rPr>
          <w:lang w:val="fr-CA"/>
        </w:rPr>
        <w:t>« </w:t>
      </w:r>
      <w:r w:rsidRPr="009D4254">
        <w:rPr>
          <w:b/>
          <w:lang w:val="fr-CA"/>
        </w:rPr>
        <w:t>Actions ordinaires</w:t>
      </w:r>
      <w:r w:rsidRPr="009D4254">
        <w:rPr>
          <w:lang w:val="fr-CA"/>
        </w:rPr>
        <w:t> » désigne les actions ordinaires de la Société.</w:t>
      </w:r>
      <w:bookmarkEnd w:id="6"/>
    </w:p>
    <w:p w14:paraId="717AE7FD" w14:textId="77777777" w:rsidR="00D423E9" w:rsidRPr="00986BEB" w:rsidRDefault="00D423E9" w:rsidP="00D423E9">
      <w:pPr>
        <w:pStyle w:val="DefinitionL1"/>
        <w:rPr>
          <w:lang w:val="fr-CA"/>
        </w:rPr>
      </w:pPr>
      <w:bookmarkStart w:id="7" w:name="_Ref448380516"/>
      <w:r w:rsidRPr="009D4254">
        <w:rPr>
          <w:lang w:val="fr-CA"/>
        </w:rPr>
        <w:t>[« </w:t>
      </w:r>
      <w:r w:rsidRPr="009D4254">
        <w:rPr>
          <w:b/>
          <w:lang w:val="fr-CA"/>
        </w:rPr>
        <w:t>Actions privilégiées</w:t>
      </w:r>
      <w:r w:rsidRPr="009D4254">
        <w:rPr>
          <w:lang w:val="fr-CA"/>
        </w:rPr>
        <w:t xml:space="preserve"> » </w:t>
      </w:r>
      <w:r>
        <w:rPr>
          <w:lang w:val="fr-CA"/>
        </w:rPr>
        <w:t xml:space="preserve">désigne, collectivement, les </w:t>
      </w:r>
      <w:r w:rsidRPr="009D4254">
        <w:rPr>
          <w:lang w:val="fr-CA"/>
        </w:rPr>
        <w:t xml:space="preserve">Actions privilégiées de catégorie A </w:t>
      </w:r>
      <w:r>
        <w:rPr>
          <w:lang w:val="fr-CA"/>
        </w:rPr>
        <w:t>et les Actions privilégiées de catégorie </w:t>
      </w:r>
      <w:r w:rsidRPr="009D4254">
        <w:rPr>
          <w:lang w:val="fr-CA"/>
        </w:rPr>
        <w:t xml:space="preserve">[_] </w:t>
      </w:r>
      <w:r>
        <w:rPr>
          <w:lang w:val="fr-CA"/>
        </w:rPr>
        <w:t>de la Société</w:t>
      </w:r>
      <w:bookmarkStart w:id="8" w:name="_Ref448380678"/>
      <w:r w:rsidRPr="00986BEB">
        <w:rPr>
          <w:rStyle w:val="FootnoteReference"/>
          <w:lang w:val="fr-CA"/>
        </w:rPr>
        <w:footnoteReference w:id="3"/>
      </w:r>
      <w:bookmarkEnd w:id="8"/>
      <w:r w:rsidRPr="009D4254">
        <w:rPr>
          <w:lang w:val="fr-CA"/>
        </w:rPr>
        <w:t>.]</w:t>
      </w:r>
    </w:p>
    <w:p w14:paraId="0FE7CDD8" w14:textId="77777777" w:rsidR="00DF5CF9" w:rsidRPr="00986BEB" w:rsidRDefault="00DF5CF9">
      <w:pPr>
        <w:pStyle w:val="DefinitionL1"/>
        <w:rPr>
          <w:lang w:val="fr-CA"/>
        </w:rPr>
      </w:pPr>
      <w:r w:rsidRPr="009D4254">
        <w:rPr>
          <w:lang w:val="fr-CA"/>
        </w:rPr>
        <w:t>« </w:t>
      </w:r>
      <w:r w:rsidRPr="009D4254">
        <w:rPr>
          <w:b/>
          <w:lang w:val="fr-CA"/>
        </w:rPr>
        <w:t>Actions privilégiées de catégorie A</w:t>
      </w:r>
      <w:r w:rsidRPr="009D4254">
        <w:rPr>
          <w:lang w:val="fr-CA"/>
        </w:rPr>
        <w:t> » désigne les Actions privilégiées de catégorie A de la Société.</w:t>
      </w:r>
      <w:bookmarkEnd w:id="7"/>
    </w:p>
    <w:p w14:paraId="4AD09B21" w14:textId="77777777" w:rsidR="00DF5CF9" w:rsidRPr="00986BEB" w:rsidRDefault="00DF5CF9" w:rsidP="00C364FE">
      <w:pPr>
        <w:pStyle w:val="DefinitionL1"/>
        <w:rPr>
          <w:lang w:val="fr-CA"/>
        </w:rPr>
      </w:pPr>
      <w:r w:rsidRPr="0059083D">
        <w:rPr>
          <w:lang w:val="fr-CA"/>
        </w:rPr>
        <w:t>« </w:t>
      </w:r>
      <w:r w:rsidRPr="0059083D">
        <w:rPr>
          <w:b/>
          <w:lang w:val="fr-CA"/>
        </w:rPr>
        <w:t>Administrateur privilégié</w:t>
      </w:r>
      <w:r w:rsidRPr="0059083D">
        <w:rPr>
          <w:szCs w:val="24"/>
          <w:lang w:val="fr-CA"/>
        </w:rPr>
        <w:t xml:space="preserve"> » désigne tout administrateur de la Société que les porteurs inscrits d’Actions privilégiées </w:t>
      </w:r>
      <w:bookmarkStart w:id="9" w:name="_cp_text_1_6"/>
      <w:r w:rsidRPr="0059083D">
        <w:rPr>
          <w:szCs w:val="24"/>
          <w:lang w:val="fr-CA"/>
        </w:rPr>
        <w:t>[d’une ou de plusieurs catégories ou séries]</w:t>
      </w:r>
      <w:bookmarkEnd w:id="9"/>
      <w:r>
        <w:rPr>
          <w:szCs w:val="24"/>
          <w:lang w:val="fr-CA"/>
        </w:rPr>
        <w:t xml:space="preserve"> </w:t>
      </w:r>
      <w:r w:rsidRPr="0059083D">
        <w:rPr>
          <w:szCs w:val="24"/>
          <w:lang w:val="fr-CA"/>
        </w:rPr>
        <w:t>[</w:t>
      </w:r>
      <w:bookmarkStart w:id="10" w:name="_9kR3WTr26648DdLrwkvS"/>
      <w:bookmarkStart w:id="11" w:name="_9kR3WTr26649IhLrwkvS"/>
      <w:r w:rsidRPr="0059083D">
        <w:rPr>
          <w:szCs w:val="24"/>
          <w:lang w:val="fr-CA"/>
        </w:rPr>
        <w:t>de catégorie A</w:t>
      </w:r>
      <w:bookmarkEnd w:id="10"/>
      <w:bookmarkEnd w:id="11"/>
      <w:r w:rsidRPr="0059083D">
        <w:rPr>
          <w:szCs w:val="16"/>
          <w:lang w:val="fr-CA"/>
        </w:rPr>
        <w:t>] ont le droit d’élire conformément aux Statuts</w:t>
      </w:r>
      <w:r w:rsidRPr="00986BEB">
        <w:rPr>
          <w:rStyle w:val="FootnoteReference"/>
          <w:szCs w:val="16"/>
          <w:lang w:val="fr-CA"/>
        </w:rPr>
        <w:footnoteReference w:id="4"/>
      </w:r>
      <w:r>
        <w:rPr>
          <w:szCs w:val="16"/>
          <w:lang w:val="fr-CA"/>
        </w:rPr>
        <w:t>.</w:t>
      </w:r>
      <w:r w:rsidRPr="0059083D">
        <w:rPr>
          <w:szCs w:val="16"/>
          <w:lang w:val="fr-CA"/>
        </w:rPr>
        <w:t xml:space="preserve"> </w:t>
      </w:r>
    </w:p>
    <w:p w14:paraId="12D07C57" w14:textId="77777777" w:rsidR="00D423E9" w:rsidRPr="00986BEB" w:rsidRDefault="00D423E9" w:rsidP="00D423E9">
      <w:pPr>
        <w:pStyle w:val="DefinitionL1"/>
        <w:rPr>
          <w:lang w:val="fr-CA"/>
        </w:rPr>
      </w:pPr>
      <w:bookmarkStart w:id="12" w:name="_Ref448380518"/>
      <w:bookmarkStart w:id="13" w:name="_Ref448380512"/>
      <w:r w:rsidRPr="009D4254">
        <w:rPr>
          <w:lang w:val="fr-CA"/>
        </w:rPr>
        <w:t>[« </w:t>
      </w:r>
      <w:r w:rsidRPr="009D4254">
        <w:rPr>
          <w:b/>
          <w:lang w:val="fr-CA"/>
        </w:rPr>
        <w:t>Concurrent</w:t>
      </w:r>
      <w:r w:rsidRPr="009D4254">
        <w:rPr>
          <w:lang w:val="fr-CA"/>
        </w:rPr>
        <w:t xml:space="preserve"> » désigne une Personne </w:t>
      </w:r>
      <w:r>
        <w:rPr>
          <w:lang w:val="fr-CA"/>
        </w:rPr>
        <w:t>qui</w:t>
      </w:r>
      <w:r w:rsidRPr="009D4254">
        <w:rPr>
          <w:lang w:val="fr-CA"/>
        </w:rPr>
        <w:t xml:space="preserve">, directement ou indirectement (notamment par l’intermédiaire d’une société de personnes, d’une société à responsabilité limitée, d’une société par actions, d’une coentreprise ou d’un mécanisme similaire (existant </w:t>
      </w:r>
      <w:r>
        <w:rPr>
          <w:lang w:val="fr-CA"/>
        </w:rPr>
        <w:t>actuellement</w:t>
      </w:r>
      <w:r w:rsidRPr="009D4254">
        <w:rPr>
          <w:lang w:val="fr-CA"/>
        </w:rPr>
        <w:t xml:space="preserve"> ou constitué après la date des présentes)), </w:t>
      </w:r>
      <w:r>
        <w:rPr>
          <w:lang w:val="fr-CA"/>
        </w:rPr>
        <w:t xml:space="preserve">se livre </w:t>
      </w:r>
      <w:r w:rsidRPr="009D4254">
        <w:rPr>
          <w:lang w:val="fr-CA"/>
        </w:rPr>
        <w:t>à [</w:t>
      </w:r>
      <w:r w:rsidRPr="009D4254">
        <w:rPr>
          <w:i/>
          <w:lang w:val="fr-CA"/>
        </w:rPr>
        <w:t>description des activités</w:t>
      </w:r>
      <w:r w:rsidRPr="009D4254">
        <w:rPr>
          <w:lang w:val="fr-CA"/>
        </w:rPr>
        <w:t xml:space="preserve">], mais à l’exclusion </w:t>
      </w:r>
      <w:r>
        <w:rPr>
          <w:lang w:val="fr-CA"/>
        </w:rPr>
        <w:t>d’une entreprise</w:t>
      </w:r>
      <w:r w:rsidRPr="009D4254">
        <w:rPr>
          <w:lang w:val="fr-CA"/>
        </w:rPr>
        <w:t xml:space="preserve"> d’investissement ou </w:t>
      </w:r>
      <w:r>
        <w:rPr>
          <w:lang w:val="fr-CA"/>
        </w:rPr>
        <w:t xml:space="preserve">d’un </w:t>
      </w:r>
      <w:r w:rsidRPr="009D4254">
        <w:rPr>
          <w:lang w:val="fr-CA"/>
        </w:rPr>
        <w:t xml:space="preserve">mécanisme de placement collectif qui, avec les Membres du même groupe </w:t>
      </w:r>
      <w:r>
        <w:rPr>
          <w:lang w:val="fr-CA"/>
        </w:rPr>
        <w:t>que lui</w:t>
      </w:r>
      <w:r w:rsidRPr="009D4254">
        <w:rPr>
          <w:lang w:val="fr-CA"/>
        </w:rPr>
        <w:t>, détient moins de [vingt (</w:t>
      </w:r>
      <w:r w:rsidRPr="00986BEB">
        <w:rPr>
          <w:lang w:val="fr-CA"/>
        </w:rPr>
        <w:t>20</w:t>
      </w:r>
      <w:r w:rsidRPr="009D4254">
        <w:rPr>
          <w:lang w:val="fr-CA"/>
        </w:rPr>
        <w:t>)] % des titres de capitaux propres en circulation d’un Concurrent et qui n’</w:t>
      </w:r>
      <w:r>
        <w:rPr>
          <w:lang w:val="fr-CA"/>
        </w:rPr>
        <w:t>a</w:t>
      </w:r>
      <w:r w:rsidRPr="009D4254">
        <w:rPr>
          <w:lang w:val="fr-CA"/>
        </w:rPr>
        <w:t xml:space="preserve"> pas, ou dont les Membres du même groupe qu</w:t>
      </w:r>
      <w:r>
        <w:rPr>
          <w:lang w:val="fr-CA"/>
        </w:rPr>
        <w:t xml:space="preserve">e lui </w:t>
      </w:r>
      <w:r w:rsidRPr="009D4254">
        <w:rPr>
          <w:lang w:val="fr-CA"/>
        </w:rPr>
        <w:t>n’ont pas, le droit de désigner des membres du conseil d’administration d’un Concurrent</w:t>
      </w:r>
      <w:r w:rsidRPr="00986BEB">
        <w:rPr>
          <w:rStyle w:val="FootnoteReference"/>
          <w:lang w:val="fr-CA"/>
        </w:rPr>
        <w:footnoteReference w:id="5"/>
      </w:r>
      <w:r w:rsidRPr="009D4254">
        <w:rPr>
          <w:lang w:val="fr-CA"/>
        </w:rPr>
        <w:t>.]</w:t>
      </w:r>
      <w:bookmarkEnd w:id="12"/>
    </w:p>
    <w:bookmarkEnd w:id="13"/>
    <w:p w14:paraId="3FDC1BA7" w14:textId="77777777" w:rsidR="00DF5CF9" w:rsidRPr="00986BEB" w:rsidRDefault="00DF5CF9" w:rsidP="00B30BAF">
      <w:pPr>
        <w:pStyle w:val="DefinitionL1"/>
        <w:rPr>
          <w:lang w:val="fr-CA"/>
        </w:rPr>
      </w:pPr>
      <w:r w:rsidRPr="009D4254">
        <w:rPr>
          <w:lang w:val="fr-CA"/>
        </w:rPr>
        <w:t>« </w:t>
      </w:r>
      <w:r w:rsidRPr="009D4254">
        <w:rPr>
          <w:b/>
          <w:lang w:val="fr-CA"/>
        </w:rPr>
        <w:t>Conseil d’administration</w:t>
      </w:r>
      <w:r w:rsidRPr="009D4254">
        <w:rPr>
          <w:lang w:val="fr-CA"/>
        </w:rPr>
        <w:t> » désigne le conseil d’administration de la Société.</w:t>
      </w:r>
    </w:p>
    <w:p w14:paraId="7A1DA743" w14:textId="77777777" w:rsidR="00DF5CF9" w:rsidRPr="00986BEB" w:rsidRDefault="00DF5CF9">
      <w:pPr>
        <w:pStyle w:val="DefinitionL1"/>
        <w:rPr>
          <w:lang w:val="fr-CA"/>
        </w:rPr>
      </w:pPr>
      <w:bookmarkStart w:id="14" w:name="_Ref448380540"/>
      <w:r w:rsidRPr="0059083D">
        <w:rPr>
          <w:lang w:val="fr-CA"/>
        </w:rPr>
        <w:t>« </w:t>
      </w:r>
      <w:r w:rsidRPr="0059083D">
        <w:rPr>
          <w:b/>
          <w:lang w:val="fr-CA"/>
        </w:rPr>
        <w:t>déclaration d’inscription</w:t>
      </w:r>
      <w:r w:rsidRPr="0059083D">
        <w:rPr>
          <w:lang w:val="fr-CA"/>
        </w:rPr>
        <w:t xml:space="preserve"> » désigne </w:t>
      </w:r>
      <w:bookmarkStart w:id="15" w:name="DocXTextRef36"/>
      <w:r w:rsidRPr="00986BEB">
        <w:rPr>
          <w:lang w:val="fr-CA"/>
        </w:rPr>
        <w:t>a</w:t>
      </w:r>
      <w:r w:rsidRPr="0059083D">
        <w:rPr>
          <w:lang w:val="fr-CA"/>
        </w:rPr>
        <w:t>)</w:t>
      </w:r>
      <w:bookmarkEnd w:id="15"/>
      <w:r w:rsidRPr="0059083D">
        <w:rPr>
          <w:lang w:val="fr-CA"/>
        </w:rPr>
        <w:t xml:space="preserve"> une déclaration d’inscription déposée en vertu de la Loi de </w:t>
      </w:r>
      <w:r w:rsidRPr="00986BEB">
        <w:rPr>
          <w:lang w:val="fr-CA"/>
        </w:rPr>
        <w:t>1933</w:t>
      </w:r>
      <w:r w:rsidRPr="0059083D">
        <w:rPr>
          <w:lang w:val="fr-CA"/>
        </w:rPr>
        <w:t xml:space="preserve">, [et/ou] </w:t>
      </w:r>
      <w:bookmarkStart w:id="16" w:name="DocXTextRef37"/>
      <w:r w:rsidRPr="00986BEB">
        <w:rPr>
          <w:lang w:val="fr-CA"/>
        </w:rPr>
        <w:t>b</w:t>
      </w:r>
      <w:r w:rsidRPr="0059083D">
        <w:rPr>
          <w:lang w:val="fr-CA"/>
        </w:rPr>
        <w:t>)</w:t>
      </w:r>
      <w:bookmarkEnd w:id="16"/>
      <w:r w:rsidRPr="0059083D">
        <w:rPr>
          <w:lang w:val="fr-CA"/>
        </w:rPr>
        <w:t> un prospectus déposé en vertu des Lois sur les valeurs mobilières canadiennes, et toute mention d’une déclaration d’inscription qui entre en vigueur comprend la délivrance d’un visa définitif ou d’un document de décision aux termes des Lois sur les valeurs mobilières canadiennes à l’égard d’un prospectus déposé en vertu des Lois sur les valeurs mobilières canadiennes.</w:t>
      </w:r>
      <w:bookmarkEnd w:id="14"/>
    </w:p>
    <w:p w14:paraId="5EA6AE1F" w14:textId="77777777" w:rsidR="00DF5CF9" w:rsidRPr="00986BEB" w:rsidRDefault="00DF5CF9">
      <w:pPr>
        <w:pStyle w:val="DefinitionL1"/>
        <w:rPr>
          <w:lang w:val="fr-CA"/>
        </w:rPr>
      </w:pPr>
      <w:bookmarkStart w:id="17" w:name="_Ref448380519"/>
      <w:r w:rsidRPr="009D4254">
        <w:rPr>
          <w:lang w:val="fr-CA"/>
        </w:rPr>
        <w:t>« </w:t>
      </w:r>
      <w:r w:rsidRPr="009D4254">
        <w:rPr>
          <w:b/>
          <w:lang w:val="fr-CA"/>
        </w:rPr>
        <w:t>Dommages</w:t>
      </w:r>
      <w:r w:rsidRPr="009D4254">
        <w:rPr>
          <w:lang w:val="fr-CA"/>
        </w:rPr>
        <w:t xml:space="preserve"> » désigne les pertes, dommages, dommages-intérêts, réclamations ou responsabilités (conjointes ou individuelles) auxquels une partie aux présentes peut être exposée </w:t>
      </w:r>
      <w:r>
        <w:rPr>
          <w:lang w:val="fr-CA"/>
        </w:rPr>
        <w:t>aux termes</w:t>
      </w:r>
      <w:r w:rsidRPr="009D4254">
        <w:rPr>
          <w:lang w:val="fr-CA"/>
        </w:rPr>
        <w:t xml:space="preserve"> de la Loi de </w:t>
      </w:r>
      <w:r w:rsidRPr="00986BEB">
        <w:rPr>
          <w:lang w:val="fr-CA"/>
        </w:rPr>
        <w:t>1933</w:t>
      </w:r>
      <w:r w:rsidRPr="009D4254">
        <w:rPr>
          <w:lang w:val="fr-CA"/>
        </w:rPr>
        <w:t xml:space="preserve">, de la Loi de </w:t>
      </w:r>
      <w:r w:rsidRPr="00986BEB">
        <w:rPr>
          <w:lang w:val="fr-CA"/>
        </w:rPr>
        <w:t>1934</w:t>
      </w:r>
      <w:r w:rsidRPr="009D4254">
        <w:rPr>
          <w:lang w:val="fr-CA"/>
        </w:rPr>
        <w:t>, des Lois sur les valeurs mobilières canadiennes ou d’autres lois fédérales, nationales, provinciales ou étatiques américaines ou canadiennes, dans la mesure où ces pertes, dommages, dommages-intérêts, réclamations ou responsabilités (ou toute action relative à ceux-ci) découlent de ce qui suit ou s</w:t>
      </w:r>
      <w:r>
        <w:rPr>
          <w:lang w:val="fr-CA"/>
        </w:rPr>
        <w:t>ont</w:t>
      </w:r>
      <w:r w:rsidRPr="009D4254">
        <w:rPr>
          <w:lang w:val="fr-CA"/>
        </w:rPr>
        <w:t xml:space="preserve"> </w:t>
      </w:r>
      <w:r>
        <w:rPr>
          <w:lang w:val="fr-CA"/>
        </w:rPr>
        <w:t>fondés sur</w:t>
      </w:r>
      <w:r w:rsidRPr="009D4254">
        <w:rPr>
          <w:lang w:val="fr-CA"/>
        </w:rPr>
        <w:t xml:space="preserve"> </w:t>
      </w:r>
      <w:r>
        <w:rPr>
          <w:lang w:val="fr-CA"/>
        </w:rPr>
        <w:t xml:space="preserve">ce </w:t>
      </w:r>
      <w:r w:rsidRPr="009D4254">
        <w:rPr>
          <w:lang w:val="fr-CA"/>
        </w:rPr>
        <w:t xml:space="preserve">qui suit : </w:t>
      </w:r>
      <w:bookmarkStart w:id="18" w:name="DocXTextRef9"/>
      <w:r w:rsidRPr="009D4254">
        <w:rPr>
          <w:lang w:val="fr-CA"/>
        </w:rPr>
        <w:t>(</w:t>
      </w:r>
      <w:r w:rsidRPr="00986BEB">
        <w:rPr>
          <w:lang w:val="fr-CA"/>
        </w:rPr>
        <w:t>i</w:t>
      </w:r>
      <w:r w:rsidRPr="009D4254">
        <w:rPr>
          <w:lang w:val="fr-CA"/>
        </w:rPr>
        <w:t>)</w:t>
      </w:r>
      <w:bookmarkEnd w:id="18"/>
      <w:r w:rsidRPr="009D4254">
        <w:rPr>
          <w:lang w:val="fr-CA"/>
        </w:rPr>
        <w:t xml:space="preserve"> de l’information fausse ou </w:t>
      </w:r>
      <w:r w:rsidRPr="00D95DDC">
        <w:rPr>
          <w:lang w:val="fr-CA"/>
        </w:rPr>
        <w:t xml:space="preserve">prétendument fausse concernant un fait important figurant dans une déclaration d’inscription de la Société, y compris dans un prospectus provisoire ou un prospectus définitif contenu dans celle-ci, ou dans toute modification ou tout supplément de celle-ci; </w:t>
      </w:r>
      <w:bookmarkStart w:id="19" w:name="DocXTextRef10"/>
      <w:r w:rsidRPr="00D95DDC">
        <w:rPr>
          <w:lang w:val="fr-CA"/>
        </w:rPr>
        <w:t>(ii)</w:t>
      </w:r>
      <w:bookmarkEnd w:id="19"/>
      <w:r w:rsidRPr="00D95DDC">
        <w:rPr>
          <w:lang w:val="fr-CA"/>
        </w:rPr>
        <w:t xml:space="preserve"> une omission ou une prétendue omission de déclarer dans un tel document un fait important qui doit y être déclaré ou dont la mention est nécessaire pour éviter qu’une déclaration qui y figure ne soit trompeuse; ou </w:t>
      </w:r>
      <w:bookmarkStart w:id="20" w:name="DocXTextRef11"/>
      <w:r w:rsidRPr="00D95DDC">
        <w:rPr>
          <w:lang w:val="fr-CA"/>
        </w:rPr>
        <w:t>(iii)</w:t>
      </w:r>
      <w:bookmarkEnd w:id="20"/>
      <w:r w:rsidRPr="00D95DDC">
        <w:rPr>
          <w:szCs w:val="16"/>
          <w:lang w:val="fr-CA"/>
        </w:rPr>
        <w:t> une violation ou une prétendue violation par la partie qui indemnise</w:t>
      </w:r>
      <w:r w:rsidRPr="009D4254">
        <w:rPr>
          <w:szCs w:val="16"/>
          <w:lang w:val="fr-CA"/>
        </w:rPr>
        <w:t xml:space="preserve"> (ou </w:t>
      </w:r>
      <w:r>
        <w:rPr>
          <w:szCs w:val="16"/>
          <w:lang w:val="fr-CA"/>
        </w:rPr>
        <w:t xml:space="preserve">par </w:t>
      </w:r>
      <w:r w:rsidRPr="009D4254">
        <w:rPr>
          <w:szCs w:val="16"/>
          <w:lang w:val="fr-CA"/>
        </w:rPr>
        <w:t xml:space="preserve">l’un de ses mandataires ou des Membres du même groupe qu’elle) </w:t>
      </w:r>
      <w:r w:rsidRPr="009D4254">
        <w:rPr>
          <w:lang w:val="fr-CA"/>
        </w:rPr>
        <w:t xml:space="preserve">de la Loi de </w:t>
      </w:r>
      <w:r w:rsidRPr="00986BEB">
        <w:rPr>
          <w:lang w:val="fr-CA"/>
        </w:rPr>
        <w:t>1933</w:t>
      </w:r>
      <w:r w:rsidRPr="009D4254">
        <w:rPr>
          <w:lang w:val="fr-CA"/>
        </w:rPr>
        <w:t xml:space="preserve">, de la Loi de </w:t>
      </w:r>
      <w:r w:rsidRPr="00986BEB">
        <w:rPr>
          <w:lang w:val="fr-CA"/>
        </w:rPr>
        <w:t>1934</w:t>
      </w:r>
      <w:r w:rsidRPr="009D4254">
        <w:rPr>
          <w:lang w:val="fr-CA"/>
        </w:rPr>
        <w:t xml:space="preserve">, </w:t>
      </w:r>
      <w:r>
        <w:rPr>
          <w:lang w:val="fr-CA"/>
        </w:rPr>
        <w:t xml:space="preserve">des lois sur les valeurs mobilières d’un État ou </w:t>
      </w:r>
      <w:r w:rsidRPr="009D4254">
        <w:rPr>
          <w:lang w:val="fr-CA"/>
        </w:rPr>
        <w:t>des Lois sur les valeurs mobilières canadiennes</w:t>
      </w:r>
      <w:r>
        <w:rPr>
          <w:lang w:val="fr-CA"/>
        </w:rPr>
        <w:t>,</w:t>
      </w:r>
      <w:r w:rsidRPr="009D4254">
        <w:rPr>
          <w:lang w:val="fr-CA"/>
        </w:rPr>
        <w:t xml:space="preserve"> ou des règles ou règlements pris en application </w:t>
      </w:r>
      <w:r>
        <w:rPr>
          <w:lang w:val="fr-CA"/>
        </w:rPr>
        <w:t>de ces lois</w:t>
      </w:r>
      <w:r w:rsidRPr="009D4254">
        <w:rPr>
          <w:lang w:val="fr-CA"/>
        </w:rPr>
        <w:t>.</w:t>
      </w:r>
      <w:bookmarkEnd w:id="17"/>
    </w:p>
    <w:p w14:paraId="5B31FA9A" w14:textId="77777777" w:rsidR="00D423E9" w:rsidRPr="005E0A34" w:rsidRDefault="00D423E9" w:rsidP="00D423E9">
      <w:pPr>
        <w:pStyle w:val="DefinitionL1"/>
        <w:rPr>
          <w:color w:val="000000"/>
          <w:szCs w:val="16"/>
          <w:lang w:val="fr-CA"/>
        </w:rPr>
      </w:pPr>
      <w:bookmarkStart w:id="21" w:name="_Ref448322736"/>
      <w:bookmarkStart w:id="22" w:name="_Ref448380531"/>
      <w:bookmarkStart w:id="23" w:name="_Ref448380524"/>
      <w:r w:rsidRPr="005E0A34">
        <w:rPr>
          <w:szCs w:val="16"/>
          <w:lang w:val="fr-CA"/>
        </w:rPr>
        <w:t>[« </w:t>
      </w:r>
      <w:r w:rsidRPr="005E0A34">
        <w:rPr>
          <w:b/>
          <w:bCs/>
          <w:szCs w:val="16"/>
          <w:lang w:val="fr-CA"/>
        </w:rPr>
        <w:t>Employé clé </w:t>
      </w:r>
      <w:r w:rsidRPr="005E0A34">
        <w:rPr>
          <w:szCs w:val="16"/>
          <w:lang w:val="fr-CA"/>
        </w:rPr>
        <w:t>» désigne tout employé membre de la direction (y compris les titulaires de postes à l’échelon de directeur de division et de vice-président) ainsi que tout employé qui, seul ou de concert avec d’autres, développe, invente, programme ou conçoit la Propriété intellectuelle de la Société</w:t>
      </w:r>
      <w:bookmarkEnd w:id="21"/>
      <w:r w:rsidRPr="005E0A34">
        <w:rPr>
          <w:szCs w:val="16"/>
          <w:lang w:val="fr-CA"/>
        </w:rPr>
        <w:t xml:space="preserve"> </w:t>
      </w:r>
      <w:r w:rsidRPr="009A4650">
        <w:rPr>
          <w:szCs w:val="16"/>
          <w:lang w:val="fr-CA"/>
        </w:rPr>
        <w:t>(au sens donné</w:t>
      </w:r>
      <w:r>
        <w:rPr>
          <w:szCs w:val="16"/>
          <w:lang w:val="fr-CA"/>
        </w:rPr>
        <w:t xml:space="preserve"> à </w:t>
      </w:r>
      <w:r>
        <w:rPr>
          <w:i/>
          <w:iCs/>
          <w:szCs w:val="16"/>
          <w:lang w:val="fr-CA"/>
        </w:rPr>
        <w:t>Company Intellectual Property</w:t>
      </w:r>
      <w:r>
        <w:rPr>
          <w:szCs w:val="16"/>
          <w:lang w:val="fr-CA"/>
        </w:rPr>
        <w:t xml:space="preserve"> dans</w:t>
      </w:r>
      <w:r w:rsidRPr="005E0A34">
        <w:rPr>
          <w:szCs w:val="16"/>
          <w:lang w:val="fr-CA"/>
        </w:rPr>
        <w:t xml:space="preserve"> la Convention d’achat</w:t>
      </w:r>
      <w:r w:rsidRPr="005E0A34">
        <w:rPr>
          <w:rStyle w:val="FootnoteReference"/>
          <w:lang w:val="fr-CA"/>
        </w:rPr>
        <w:footnoteReference w:id="6"/>
      </w:r>
      <w:r w:rsidRPr="005E0A34">
        <w:rPr>
          <w:lang w:val="fr-CA"/>
        </w:rPr>
        <w:t>.</w:t>
      </w:r>
      <w:bookmarkStart w:id="24" w:name="_Ref448380677"/>
      <w:r w:rsidRPr="005E0A34">
        <w:rPr>
          <w:lang w:val="fr-CA"/>
        </w:rPr>
        <w:t>]</w:t>
      </w:r>
      <w:bookmarkEnd w:id="22"/>
      <w:bookmarkEnd w:id="24"/>
    </w:p>
    <w:p w14:paraId="3B72D3F9" w14:textId="77777777" w:rsidR="00DF5CF9" w:rsidRPr="00986BEB" w:rsidRDefault="00DF5CF9">
      <w:pPr>
        <w:pStyle w:val="DefinitionL1"/>
        <w:rPr>
          <w:b/>
          <w:lang w:val="fr-CA"/>
        </w:rPr>
      </w:pPr>
      <w:r w:rsidRPr="0059083D">
        <w:rPr>
          <w:lang w:val="fr-CA"/>
        </w:rPr>
        <w:t>« </w:t>
      </w:r>
      <w:r w:rsidRPr="0059083D">
        <w:rPr>
          <w:b/>
          <w:lang w:val="fr-CA"/>
        </w:rPr>
        <w:t>Formulaire S</w:t>
      </w:r>
      <w:r w:rsidRPr="0059083D">
        <w:rPr>
          <w:b/>
          <w:lang w:val="fr-CA"/>
        </w:rPr>
        <w:noBreakHyphen/>
      </w:r>
      <w:r w:rsidRPr="00986BEB">
        <w:rPr>
          <w:b/>
          <w:lang w:val="fr-CA"/>
        </w:rPr>
        <w:t>1</w:t>
      </w:r>
      <w:r w:rsidRPr="0059083D">
        <w:rPr>
          <w:lang w:val="fr-CA"/>
        </w:rPr>
        <w:t> » ou « </w:t>
      </w:r>
      <w:r w:rsidRPr="0059083D">
        <w:rPr>
          <w:b/>
          <w:lang w:val="fr-CA"/>
        </w:rPr>
        <w:t>Formulaire F-</w:t>
      </w:r>
      <w:r w:rsidRPr="00986BEB">
        <w:rPr>
          <w:b/>
          <w:lang w:val="fr-CA"/>
        </w:rPr>
        <w:t>1</w:t>
      </w:r>
      <w:r w:rsidRPr="0059083D">
        <w:rPr>
          <w:lang w:val="fr-CA"/>
        </w:rPr>
        <w:t xml:space="preserve"> » désigne un formulaire </w:t>
      </w:r>
      <w:r>
        <w:rPr>
          <w:lang w:val="fr-CA"/>
        </w:rPr>
        <w:t xml:space="preserve">valide </w:t>
      </w:r>
      <w:r w:rsidRPr="0059083D">
        <w:rPr>
          <w:lang w:val="fr-CA"/>
        </w:rPr>
        <w:t xml:space="preserve">à la date des présentes </w:t>
      </w:r>
      <w:r>
        <w:rPr>
          <w:lang w:val="fr-CA"/>
        </w:rPr>
        <w:t xml:space="preserve">en vertu de </w:t>
      </w:r>
      <w:r w:rsidRPr="0059083D">
        <w:rPr>
          <w:lang w:val="fr-CA"/>
        </w:rPr>
        <w:t xml:space="preserve">la Loi de </w:t>
      </w:r>
      <w:r w:rsidRPr="00986BEB">
        <w:rPr>
          <w:lang w:val="fr-CA"/>
        </w:rPr>
        <w:t>1933</w:t>
      </w:r>
      <w:r w:rsidRPr="0059083D">
        <w:rPr>
          <w:lang w:val="fr-CA"/>
        </w:rPr>
        <w:t xml:space="preserve"> ou tout formulaire d’inscription remplaçant adopté ultérieurement par la SEC </w:t>
      </w:r>
      <w:r>
        <w:rPr>
          <w:lang w:val="fr-CA"/>
        </w:rPr>
        <w:t xml:space="preserve">en vertu de </w:t>
      </w:r>
      <w:r w:rsidRPr="0059083D">
        <w:rPr>
          <w:lang w:val="fr-CA"/>
        </w:rPr>
        <w:t xml:space="preserve">la Loi de </w:t>
      </w:r>
      <w:r w:rsidRPr="00986BEB">
        <w:rPr>
          <w:lang w:val="fr-CA"/>
        </w:rPr>
        <w:t>1933</w:t>
      </w:r>
      <w:r w:rsidRPr="0059083D">
        <w:rPr>
          <w:lang w:val="fr-CA"/>
        </w:rPr>
        <w:t>.</w:t>
      </w:r>
      <w:bookmarkEnd w:id="23"/>
    </w:p>
    <w:p w14:paraId="3F3AC2D6" w14:textId="40F9DD04" w:rsidR="00DF5CF9" w:rsidRPr="00986BEB" w:rsidRDefault="00DF5CF9">
      <w:pPr>
        <w:pStyle w:val="DefinitionL1"/>
        <w:rPr>
          <w:lang w:val="fr-CA"/>
        </w:rPr>
      </w:pPr>
      <w:bookmarkStart w:id="25" w:name="_Ref448380525"/>
      <w:r w:rsidRPr="0059083D">
        <w:rPr>
          <w:lang w:val="fr-CA"/>
        </w:rPr>
        <w:t>« </w:t>
      </w:r>
      <w:r w:rsidRPr="0059083D">
        <w:rPr>
          <w:b/>
          <w:lang w:val="fr-CA"/>
        </w:rPr>
        <w:t>Formulaire S</w:t>
      </w:r>
      <w:r w:rsidRPr="0059083D">
        <w:rPr>
          <w:b/>
          <w:lang w:val="fr-CA"/>
        </w:rPr>
        <w:noBreakHyphen/>
      </w:r>
      <w:r w:rsidRPr="00986BEB">
        <w:rPr>
          <w:b/>
          <w:lang w:val="fr-CA"/>
        </w:rPr>
        <w:t>3</w:t>
      </w:r>
      <w:r w:rsidRPr="0059083D">
        <w:rPr>
          <w:lang w:val="fr-CA"/>
        </w:rPr>
        <w:t> » ou « </w:t>
      </w:r>
      <w:r w:rsidRPr="0059083D">
        <w:rPr>
          <w:b/>
          <w:lang w:val="fr-CA"/>
        </w:rPr>
        <w:t>Formulaire F-</w:t>
      </w:r>
      <w:r w:rsidRPr="00986BEB">
        <w:rPr>
          <w:b/>
          <w:lang w:val="fr-CA"/>
        </w:rPr>
        <w:t>3</w:t>
      </w:r>
      <w:r w:rsidRPr="0059083D">
        <w:rPr>
          <w:lang w:val="fr-CA"/>
        </w:rPr>
        <w:t xml:space="preserve"> » désigne un formulaire </w:t>
      </w:r>
      <w:r>
        <w:rPr>
          <w:lang w:val="fr-CA"/>
        </w:rPr>
        <w:t xml:space="preserve">valide </w:t>
      </w:r>
      <w:r w:rsidRPr="0059083D">
        <w:rPr>
          <w:lang w:val="fr-CA"/>
        </w:rPr>
        <w:t xml:space="preserve">à la date des présentes </w:t>
      </w:r>
      <w:r>
        <w:rPr>
          <w:lang w:val="fr-CA"/>
        </w:rPr>
        <w:t xml:space="preserve">en vertu de </w:t>
      </w:r>
      <w:r w:rsidRPr="0059083D">
        <w:rPr>
          <w:lang w:val="fr-CA"/>
        </w:rPr>
        <w:t xml:space="preserve">la Loi de </w:t>
      </w:r>
      <w:r w:rsidRPr="00986BEB">
        <w:rPr>
          <w:lang w:val="fr-CA"/>
        </w:rPr>
        <w:t>1933</w:t>
      </w:r>
      <w:r w:rsidRPr="0059083D">
        <w:rPr>
          <w:lang w:val="fr-CA"/>
        </w:rPr>
        <w:t xml:space="preserve"> ou tout formulaire d’inscription adopté ultérieurement par la SEC </w:t>
      </w:r>
      <w:r>
        <w:rPr>
          <w:lang w:val="fr-CA"/>
        </w:rPr>
        <w:t xml:space="preserve">en vertu de </w:t>
      </w:r>
      <w:r w:rsidRPr="0059083D">
        <w:rPr>
          <w:lang w:val="fr-CA"/>
        </w:rPr>
        <w:t xml:space="preserve">la Loi de </w:t>
      </w:r>
      <w:r w:rsidRPr="00986BEB">
        <w:rPr>
          <w:lang w:val="fr-CA"/>
        </w:rPr>
        <w:t>1933</w:t>
      </w:r>
      <w:r w:rsidRPr="0059083D">
        <w:rPr>
          <w:lang w:val="fr-CA"/>
        </w:rPr>
        <w:t xml:space="preserve"> qui permet d’intégrer prospectivement d’importants renseignements par renvoi dans d’autres documents déposés par la Société auprès de la SEC.</w:t>
      </w:r>
      <w:bookmarkEnd w:id="25"/>
    </w:p>
    <w:p w14:paraId="4C515B3E" w14:textId="6F31B46F" w:rsidR="00DF5CF9" w:rsidRPr="00986BEB" w:rsidRDefault="00DF5CF9">
      <w:pPr>
        <w:pStyle w:val="DefinitionL1"/>
        <w:rPr>
          <w:lang w:val="fr-CA"/>
        </w:rPr>
      </w:pPr>
      <w:bookmarkStart w:id="26" w:name="_Ref448380546"/>
      <w:r w:rsidRPr="009D4254">
        <w:rPr>
          <w:lang w:val="fr-CA"/>
        </w:rPr>
        <w:t>« </w:t>
      </w:r>
      <w:r w:rsidRPr="009D4254">
        <w:rPr>
          <w:b/>
          <w:lang w:val="fr-CA"/>
        </w:rPr>
        <w:t>Frais de vente</w:t>
      </w:r>
      <w:r w:rsidRPr="009D4254">
        <w:rPr>
          <w:lang w:val="fr-CA"/>
        </w:rPr>
        <w:t xml:space="preserve"> » désigne l’ensemble des </w:t>
      </w:r>
      <w:r>
        <w:rPr>
          <w:lang w:val="fr-CA"/>
        </w:rPr>
        <w:t>décotes de placement</w:t>
      </w:r>
      <w:r w:rsidRPr="009D4254">
        <w:rPr>
          <w:lang w:val="fr-CA"/>
        </w:rPr>
        <w:t xml:space="preserve">, </w:t>
      </w:r>
      <w:r>
        <w:rPr>
          <w:lang w:val="fr-CA"/>
        </w:rPr>
        <w:t xml:space="preserve">des </w:t>
      </w:r>
      <w:r w:rsidRPr="009D4254">
        <w:rPr>
          <w:lang w:val="fr-CA"/>
        </w:rPr>
        <w:t xml:space="preserve">commissions de vente et </w:t>
      </w:r>
      <w:r>
        <w:rPr>
          <w:lang w:val="fr-CA"/>
        </w:rPr>
        <w:t xml:space="preserve">des </w:t>
      </w:r>
      <w:r w:rsidRPr="009D4254">
        <w:rPr>
          <w:lang w:val="fr-CA"/>
        </w:rPr>
        <w:t xml:space="preserve">taxes sur les transferts d’actions applicables à la vente de Titres à inscrire, ainsi que les honoraires et débours du conseiller juridique </w:t>
      </w:r>
      <w:r>
        <w:rPr>
          <w:lang w:val="fr-CA"/>
        </w:rPr>
        <w:t xml:space="preserve">de tout </w:t>
      </w:r>
      <w:r w:rsidRPr="009D4254">
        <w:rPr>
          <w:lang w:val="fr-CA"/>
        </w:rPr>
        <w:t xml:space="preserve">Porteur, exception faite des honoraires et débours du Conseiller juridique des Porteurs vendeurs qui sont assumés et payés par la Société </w:t>
      </w:r>
      <w:r>
        <w:rPr>
          <w:lang w:val="fr-CA"/>
        </w:rPr>
        <w:t xml:space="preserve">ainsi qu’il est prévu au </w:t>
      </w:r>
      <w:r w:rsidRPr="009D4254">
        <w:rPr>
          <w:u w:val="single"/>
          <w:lang w:val="fr-CA"/>
        </w:rPr>
        <w:t>paragraphe </w:t>
      </w:r>
      <w:r w:rsidRPr="00986BEB">
        <w:rPr>
          <w:u w:val="single"/>
          <w:lang w:val="fr-CA"/>
        </w:rPr>
        <w:fldChar w:fldCharType="begin"/>
      </w:r>
      <w:r w:rsidRPr="00986BEB">
        <w:rPr>
          <w:u w:val="single"/>
          <w:lang w:val="fr-CA"/>
        </w:rPr>
        <w:instrText xml:space="preserve">  REF _Ref448380571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2.6</w:t>
      </w:r>
      <w:r w:rsidRPr="00986BEB">
        <w:rPr>
          <w:u w:val="single"/>
          <w:lang w:val="fr-CA"/>
        </w:rPr>
        <w:fldChar w:fldCharType="end"/>
      </w:r>
      <w:r w:rsidRPr="009D4254">
        <w:rPr>
          <w:szCs w:val="16"/>
          <w:lang w:val="fr-CA"/>
        </w:rPr>
        <w:t>.</w:t>
      </w:r>
      <w:bookmarkEnd w:id="26"/>
    </w:p>
    <w:p w14:paraId="682628A5" w14:textId="77777777" w:rsidR="00DF5CF9" w:rsidRPr="00986BEB" w:rsidRDefault="00DF5CF9">
      <w:pPr>
        <w:pStyle w:val="DefinitionL1"/>
        <w:rPr>
          <w:b/>
          <w:color w:val="000000"/>
          <w:lang w:val="fr-CA"/>
        </w:rPr>
      </w:pPr>
      <w:bookmarkStart w:id="27" w:name="_Ref448380522"/>
      <w:r w:rsidRPr="0059083D">
        <w:rPr>
          <w:lang w:val="fr-CA"/>
        </w:rPr>
        <w:t>« </w:t>
      </w:r>
      <w:r w:rsidRPr="0059083D">
        <w:rPr>
          <w:b/>
          <w:lang w:val="fr-CA"/>
        </w:rPr>
        <w:t>Inscription exclue</w:t>
      </w:r>
      <w:r w:rsidRPr="0059083D">
        <w:rPr>
          <w:lang w:val="fr-CA"/>
        </w:rPr>
        <w:t xml:space="preserve"> » désigne </w:t>
      </w:r>
      <w:bookmarkStart w:id="28" w:name="DocXTextRef12"/>
      <w:r w:rsidRPr="0059083D">
        <w:rPr>
          <w:lang w:val="fr-CA"/>
        </w:rPr>
        <w:t>(</w:t>
      </w:r>
      <w:r w:rsidRPr="00986BEB">
        <w:rPr>
          <w:lang w:val="fr-CA"/>
        </w:rPr>
        <w:t>i</w:t>
      </w:r>
      <w:r w:rsidRPr="0059083D">
        <w:rPr>
          <w:lang w:val="fr-CA"/>
        </w:rPr>
        <w:t>)</w:t>
      </w:r>
      <w:bookmarkEnd w:id="28"/>
      <w:r>
        <w:rPr>
          <w:lang w:val="fr-CA"/>
        </w:rPr>
        <w:t> </w:t>
      </w:r>
      <w:r w:rsidRPr="0059083D">
        <w:rPr>
          <w:lang w:val="fr-CA"/>
        </w:rPr>
        <w:t xml:space="preserve">une inscription relative à la vente ou à l’attribution de titres </w:t>
      </w:r>
      <w:r>
        <w:rPr>
          <w:lang w:val="fr-CA"/>
        </w:rPr>
        <w:t xml:space="preserve">à des </w:t>
      </w:r>
      <w:r w:rsidRPr="0059083D">
        <w:rPr>
          <w:lang w:val="fr-CA"/>
        </w:rPr>
        <w:t xml:space="preserve">employés de la Société ou d’une filiale dans le cadre d’un régime d’options d’achat d’actions, d’un régime d’achat d’actions, d’un régime incitatif fondé sur des titres de capitaux propres ou d’un régime semblable; </w:t>
      </w:r>
      <w:bookmarkStart w:id="29" w:name="DocXTextRef13"/>
      <w:r w:rsidRPr="0059083D">
        <w:rPr>
          <w:lang w:val="fr-CA"/>
        </w:rPr>
        <w:t>(</w:t>
      </w:r>
      <w:r w:rsidRPr="00986BEB">
        <w:rPr>
          <w:lang w:val="fr-CA"/>
        </w:rPr>
        <w:t>ii</w:t>
      </w:r>
      <w:r w:rsidRPr="0059083D">
        <w:rPr>
          <w:lang w:val="fr-CA"/>
        </w:rPr>
        <w:t>)</w:t>
      </w:r>
      <w:bookmarkEnd w:id="29"/>
      <w:r w:rsidRPr="0059083D">
        <w:rPr>
          <w:lang w:val="fr-CA"/>
        </w:rPr>
        <w:t> une inscription relative à une opération visée par le Règle </w:t>
      </w:r>
      <w:r w:rsidRPr="00986BEB">
        <w:rPr>
          <w:lang w:val="fr-CA"/>
        </w:rPr>
        <w:t>145</w:t>
      </w:r>
      <w:r w:rsidRPr="0059083D">
        <w:rPr>
          <w:lang w:val="fr-CA"/>
        </w:rPr>
        <w:t xml:space="preserve"> de la SEC; </w:t>
      </w:r>
      <w:bookmarkStart w:id="30" w:name="DocXTextRef15"/>
      <w:r w:rsidRPr="0059083D">
        <w:rPr>
          <w:lang w:val="fr-CA"/>
        </w:rPr>
        <w:t>(</w:t>
      </w:r>
      <w:r w:rsidRPr="00986BEB">
        <w:rPr>
          <w:lang w:val="fr-CA"/>
        </w:rPr>
        <w:t>iii</w:t>
      </w:r>
      <w:r w:rsidRPr="0059083D">
        <w:rPr>
          <w:lang w:val="fr-CA"/>
        </w:rPr>
        <w:t>)</w:t>
      </w:r>
      <w:bookmarkEnd w:id="30"/>
      <w:r w:rsidRPr="0059083D">
        <w:rPr>
          <w:lang w:val="fr-CA"/>
        </w:rPr>
        <w:t xml:space="preserve"> une inscription sous toute forme qui ne contient pas essentiellement les mêmes renseignements que ceux qui </w:t>
      </w:r>
      <w:r>
        <w:rPr>
          <w:lang w:val="fr-CA"/>
        </w:rPr>
        <w:t>devraient être inclus</w:t>
      </w:r>
      <w:r w:rsidRPr="0059083D">
        <w:rPr>
          <w:lang w:val="fr-CA"/>
        </w:rPr>
        <w:t xml:space="preserve"> dans une déclaration d’inscription visant la vente des Titres à inscrire; ou </w:t>
      </w:r>
      <w:bookmarkStart w:id="31" w:name="DocXTextRef16"/>
      <w:r w:rsidRPr="0059083D">
        <w:rPr>
          <w:lang w:val="fr-CA"/>
        </w:rPr>
        <w:t>(</w:t>
      </w:r>
      <w:r w:rsidRPr="00986BEB">
        <w:rPr>
          <w:lang w:val="fr-CA"/>
        </w:rPr>
        <w:t>iv</w:t>
      </w:r>
      <w:r w:rsidRPr="0059083D">
        <w:rPr>
          <w:lang w:val="fr-CA"/>
        </w:rPr>
        <w:t>)</w:t>
      </w:r>
      <w:bookmarkEnd w:id="31"/>
      <w:r w:rsidRPr="0059083D">
        <w:rPr>
          <w:lang w:val="fr-CA"/>
        </w:rPr>
        <w:t> une inscription aux termes de laquelle les seules Actions ordinaires inscrites sont des Actions ordinaires pouvant être émises à la conversion de titres de créance qui sont également inscrits.</w:t>
      </w:r>
      <w:bookmarkEnd w:id="27"/>
    </w:p>
    <w:p w14:paraId="1AF23AF4" w14:textId="77777777" w:rsidR="00DF5CF9" w:rsidRPr="00986BEB" w:rsidRDefault="00DF5CF9">
      <w:pPr>
        <w:pStyle w:val="DefinitionL1"/>
        <w:rPr>
          <w:lang w:val="fr-CA"/>
        </w:rPr>
      </w:pPr>
      <w:bookmarkStart w:id="32" w:name="_Ref448380539"/>
      <w:r w:rsidRPr="0059083D">
        <w:rPr>
          <w:lang w:val="fr-CA"/>
        </w:rPr>
        <w:t>« </w:t>
      </w:r>
      <w:r w:rsidRPr="0059083D">
        <w:rPr>
          <w:b/>
          <w:lang w:val="fr-CA"/>
        </w:rPr>
        <w:t>inscription</w:t>
      </w:r>
      <w:r w:rsidRPr="0059083D">
        <w:rPr>
          <w:lang w:val="fr-CA"/>
        </w:rPr>
        <w:t xml:space="preserve"> » désigne </w:t>
      </w:r>
      <w:bookmarkStart w:id="33" w:name="DocXTextRef34"/>
      <w:r w:rsidRPr="00986BEB">
        <w:rPr>
          <w:lang w:val="fr-CA"/>
        </w:rPr>
        <w:t>a</w:t>
      </w:r>
      <w:r w:rsidRPr="0059083D">
        <w:rPr>
          <w:lang w:val="fr-CA"/>
        </w:rPr>
        <w:t>)</w:t>
      </w:r>
      <w:bookmarkEnd w:id="33"/>
      <w:r w:rsidRPr="0059083D">
        <w:rPr>
          <w:lang w:val="fr-CA"/>
        </w:rPr>
        <w:t xml:space="preserve"> l’inscription de titres aux termes de la Loi de </w:t>
      </w:r>
      <w:r w:rsidRPr="00986BEB">
        <w:rPr>
          <w:lang w:val="fr-CA"/>
        </w:rPr>
        <w:t>1933</w:t>
      </w:r>
      <w:r w:rsidRPr="0059083D">
        <w:rPr>
          <w:lang w:val="fr-CA"/>
        </w:rPr>
        <w:t xml:space="preserve">, [et/ou] </w:t>
      </w:r>
      <w:bookmarkStart w:id="34" w:name="DocXTextRef35"/>
      <w:r w:rsidRPr="00986BEB">
        <w:rPr>
          <w:lang w:val="fr-CA"/>
        </w:rPr>
        <w:t>b</w:t>
      </w:r>
      <w:r w:rsidRPr="0059083D">
        <w:rPr>
          <w:lang w:val="fr-CA"/>
        </w:rPr>
        <w:t>)</w:t>
      </w:r>
      <w:bookmarkEnd w:id="34"/>
      <w:r w:rsidRPr="0059083D">
        <w:rPr>
          <w:lang w:val="fr-CA"/>
        </w:rPr>
        <w:t> </w:t>
      </w:r>
      <w:r>
        <w:rPr>
          <w:lang w:val="fr-CA"/>
        </w:rPr>
        <w:t xml:space="preserve">le fait de rendre des titres admissibles aux fins de placement dans le </w:t>
      </w:r>
      <w:r w:rsidRPr="0059083D">
        <w:rPr>
          <w:lang w:val="fr-CA"/>
        </w:rPr>
        <w:t xml:space="preserve">public </w:t>
      </w:r>
      <w:r>
        <w:rPr>
          <w:lang w:val="fr-CA"/>
        </w:rPr>
        <w:t xml:space="preserve">au moyen </w:t>
      </w:r>
      <w:r w:rsidRPr="0059083D">
        <w:rPr>
          <w:lang w:val="fr-CA"/>
        </w:rPr>
        <w:t xml:space="preserve">d’un prospectus déposé </w:t>
      </w:r>
      <w:r>
        <w:rPr>
          <w:lang w:val="fr-CA"/>
        </w:rPr>
        <w:t xml:space="preserve">en vertu </w:t>
      </w:r>
      <w:r w:rsidRPr="0059083D">
        <w:rPr>
          <w:lang w:val="fr-CA"/>
        </w:rPr>
        <w:t xml:space="preserve">des Lois sur les valeurs mobilières canadiennes, et </w:t>
      </w:r>
      <w:r>
        <w:rPr>
          <w:lang w:val="fr-CA"/>
        </w:rPr>
        <w:t xml:space="preserve">le verbe </w:t>
      </w:r>
      <w:r w:rsidRPr="0059083D">
        <w:rPr>
          <w:lang w:val="fr-CA"/>
        </w:rPr>
        <w:t>« </w:t>
      </w:r>
      <w:r w:rsidRPr="0059083D">
        <w:rPr>
          <w:b/>
          <w:lang w:val="fr-CA"/>
        </w:rPr>
        <w:t>inscrire</w:t>
      </w:r>
      <w:r w:rsidRPr="0059083D">
        <w:rPr>
          <w:lang w:val="fr-CA"/>
        </w:rPr>
        <w:t> »</w:t>
      </w:r>
      <w:r>
        <w:rPr>
          <w:lang w:val="fr-CA"/>
        </w:rPr>
        <w:t xml:space="preserve"> et l’adjectif « </w:t>
      </w:r>
      <w:r w:rsidRPr="0025495F">
        <w:rPr>
          <w:b/>
          <w:lang w:val="fr-CA"/>
        </w:rPr>
        <w:t>inscrit</w:t>
      </w:r>
      <w:r>
        <w:rPr>
          <w:lang w:val="fr-CA"/>
        </w:rPr>
        <w:t xml:space="preserve"> » ont </w:t>
      </w:r>
      <w:r w:rsidRPr="0059083D">
        <w:rPr>
          <w:lang w:val="fr-CA"/>
        </w:rPr>
        <w:t>un sens correspondant.</w:t>
      </w:r>
      <w:bookmarkEnd w:id="32"/>
    </w:p>
    <w:p w14:paraId="59CC6387" w14:textId="77777777" w:rsidR="00DF5CF9" w:rsidRPr="00986BEB" w:rsidRDefault="00DF5CF9">
      <w:pPr>
        <w:pStyle w:val="DefinitionL1"/>
        <w:rPr>
          <w:lang w:val="fr-CA"/>
        </w:rPr>
      </w:pPr>
      <w:bookmarkStart w:id="35" w:name="_Ref448380520"/>
      <w:r w:rsidRPr="009D4254">
        <w:rPr>
          <w:lang w:val="fr-CA"/>
        </w:rPr>
        <w:t>« </w:t>
      </w:r>
      <w:r w:rsidRPr="009D4254">
        <w:rPr>
          <w:b/>
          <w:lang w:val="fr-CA"/>
        </w:rPr>
        <w:t>Instruments dérivés</w:t>
      </w:r>
      <w:r w:rsidRPr="009D4254">
        <w:rPr>
          <w:szCs w:val="16"/>
          <w:lang w:val="fr-CA"/>
        </w:rPr>
        <w:t xml:space="preserve"> » désigne des titres ou des droits </w:t>
      </w:r>
      <w:r>
        <w:rPr>
          <w:szCs w:val="16"/>
          <w:lang w:val="fr-CA"/>
        </w:rPr>
        <w:t xml:space="preserve">dont la conversion, l’exercice ou l’échange permet d’obtenir </w:t>
      </w:r>
      <w:r w:rsidRPr="009D4254">
        <w:rPr>
          <w:szCs w:val="16"/>
          <w:lang w:val="fr-CA"/>
        </w:rPr>
        <w:t>(dans chaque cas, directement ou indirectement), des</w:t>
      </w:r>
      <w:r w:rsidRPr="009D4254">
        <w:rPr>
          <w:lang w:val="fr-CA"/>
        </w:rPr>
        <w:t xml:space="preserve"> Actions ordinaires, y compris des options et des bons de souscription.</w:t>
      </w:r>
      <w:bookmarkEnd w:id="35"/>
    </w:p>
    <w:p w14:paraId="1113176D" w14:textId="77777777" w:rsidR="00DF5CF9" w:rsidRPr="00986BEB" w:rsidRDefault="00DF5CF9">
      <w:pPr>
        <w:pStyle w:val="DefinitionL1"/>
        <w:rPr>
          <w:lang w:val="fr-CA"/>
        </w:rPr>
      </w:pPr>
      <w:bookmarkStart w:id="36" w:name="_Ref448380533"/>
      <w:r w:rsidRPr="0059083D">
        <w:rPr>
          <w:lang w:val="fr-CA"/>
        </w:rPr>
        <w:t>« </w:t>
      </w:r>
      <w:r w:rsidRPr="0059083D">
        <w:rPr>
          <w:b/>
          <w:lang w:val="fr-CA"/>
        </w:rPr>
        <w:t>Investisseur important</w:t>
      </w:r>
      <w:r w:rsidRPr="0059083D">
        <w:rPr>
          <w:lang w:val="fr-CA"/>
        </w:rPr>
        <w:t xml:space="preserve"> » désigne </w:t>
      </w:r>
      <w:r>
        <w:rPr>
          <w:lang w:val="fr-CA"/>
        </w:rPr>
        <w:t>tout</w:t>
      </w:r>
      <w:r w:rsidRPr="0059083D">
        <w:rPr>
          <w:lang w:val="fr-CA"/>
        </w:rPr>
        <w:t xml:space="preserve"> Investisseur qui, individuellement ou conjointement avec les Membres du même groupe que lui, détient au moins [______] Titres à inscrire (sous réserve de rajustement pour tenir compte de tout fractionnement d’actions, dividende en actions ou regroupement</w:t>
      </w:r>
      <w:r>
        <w:rPr>
          <w:lang w:val="fr-CA"/>
        </w:rPr>
        <w:t xml:space="preserve"> ou </w:t>
      </w:r>
      <w:r w:rsidRPr="0059083D">
        <w:rPr>
          <w:lang w:val="fr-CA"/>
        </w:rPr>
        <w:t>de toute autre restructuration du capital ou de tout autre reclassement effectué après la date des présentes).</w:t>
      </w:r>
      <w:bookmarkEnd w:id="36"/>
    </w:p>
    <w:p w14:paraId="24765ADC" w14:textId="77777777" w:rsidR="00DF5CF9" w:rsidRPr="00986BEB" w:rsidRDefault="00DF5CF9">
      <w:pPr>
        <w:pStyle w:val="DefinitionL1"/>
        <w:rPr>
          <w:lang w:val="fr-CA"/>
        </w:rPr>
      </w:pPr>
      <w:bookmarkStart w:id="37" w:name="_Ref448380545"/>
      <w:r w:rsidRPr="009D4254">
        <w:rPr>
          <w:lang w:val="fr-CA"/>
        </w:rPr>
        <w:t>« </w:t>
      </w:r>
      <w:r w:rsidRPr="009D4254">
        <w:rPr>
          <w:b/>
          <w:lang w:val="fr-CA"/>
        </w:rPr>
        <w:t xml:space="preserve">Loi de </w:t>
      </w:r>
      <w:r w:rsidRPr="00986BEB">
        <w:rPr>
          <w:b/>
          <w:lang w:val="fr-CA"/>
        </w:rPr>
        <w:t>1933</w:t>
      </w:r>
      <w:r w:rsidRPr="009D4254">
        <w:rPr>
          <w:lang w:val="fr-CA"/>
        </w:rPr>
        <w:t xml:space="preserve"> » désigne la loi des États-Unis intitulée </w:t>
      </w:r>
      <w:r w:rsidRPr="009D4254">
        <w:rPr>
          <w:i/>
          <w:iCs/>
          <w:lang w:val="fr-CA"/>
        </w:rPr>
        <w:t xml:space="preserve">Securities Act of </w:t>
      </w:r>
      <w:r w:rsidRPr="00986BEB">
        <w:rPr>
          <w:i/>
          <w:iCs/>
          <w:lang w:val="fr-CA"/>
        </w:rPr>
        <w:t>1933</w:t>
      </w:r>
      <w:r w:rsidRPr="009D4254">
        <w:rPr>
          <w:lang w:val="fr-CA"/>
        </w:rPr>
        <w:t>, en sa version modifiée, et les règles et règlements pris en application de cette loi.</w:t>
      </w:r>
      <w:bookmarkEnd w:id="37"/>
    </w:p>
    <w:p w14:paraId="6B886E7B" w14:textId="77777777" w:rsidR="00DF5CF9" w:rsidRPr="00986BEB" w:rsidRDefault="00DF5CF9">
      <w:pPr>
        <w:pStyle w:val="DefinitionL1"/>
        <w:rPr>
          <w:lang w:val="fr-CA"/>
        </w:rPr>
      </w:pPr>
      <w:bookmarkStart w:id="38" w:name="_Ref448380521"/>
      <w:r w:rsidRPr="009D4254">
        <w:rPr>
          <w:lang w:val="fr-CA"/>
        </w:rPr>
        <w:t>« </w:t>
      </w:r>
      <w:r w:rsidRPr="009D4254">
        <w:rPr>
          <w:b/>
          <w:lang w:val="fr-CA"/>
        </w:rPr>
        <w:t xml:space="preserve">Loi de </w:t>
      </w:r>
      <w:r w:rsidRPr="00986BEB">
        <w:rPr>
          <w:b/>
          <w:lang w:val="fr-CA"/>
        </w:rPr>
        <w:t>1934</w:t>
      </w:r>
      <w:r w:rsidRPr="009D4254">
        <w:rPr>
          <w:lang w:val="fr-CA"/>
        </w:rPr>
        <w:t xml:space="preserve"> » désigne la loi des États-Unis intitulée </w:t>
      </w:r>
      <w:r w:rsidRPr="009D4254">
        <w:rPr>
          <w:i/>
          <w:iCs/>
          <w:lang w:val="fr-CA"/>
        </w:rPr>
        <w:t>Securities Exchange Act of</w:t>
      </w:r>
      <w:r>
        <w:rPr>
          <w:i/>
          <w:iCs/>
          <w:lang w:val="fr-CA"/>
        </w:rPr>
        <w:t> </w:t>
      </w:r>
      <w:r w:rsidRPr="00986BEB">
        <w:rPr>
          <w:i/>
          <w:iCs/>
          <w:lang w:val="fr-CA"/>
        </w:rPr>
        <w:t>1934</w:t>
      </w:r>
      <w:r w:rsidRPr="009D4254">
        <w:rPr>
          <w:lang w:val="fr-CA"/>
        </w:rPr>
        <w:t xml:space="preserve">, en sa version modifiée, </w:t>
      </w:r>
      <w:r>
        <w:rPr>
          <w:lang w:val="fr-CA"/>
        </w:rPr>
        <w:t>ainsi que</w:t>
      </w:r>
      <w:r w:rsidRPr="009D4254">
        <w:rPr>
          <w:lang w:val="fr-CA"/>
        </w:rPr>
        <w:t xml:space="preserve"> les règles et règlements pris en application de cette loi.</w:t>
      </w:r>
      <w:bookmarkEnd w:id="38"/>
    </w:p>
    <w:p w14:paraId="6C03463D" w14:textId="77777777" w:rsidR="00DF5CF9" w:rsidRPr="00986BEB" w:rsidRDefault="00DF5CF9">
      <w:pPr>
        <w:pStyle w:val="DefinitionL1"/>
        <w:rPr>
          <w:lang w:val="fr-CA"/>
        </w:rPr>
      </w:pPr>
      <w:r w:rsidRPr="009D4254">
        <w:rPr>
          <w:lang w:val="fr-CA"/>
        </w:rPr>
        <w:t>« </w:t>
      </w:r>
      <w:r w:rsidRPr="009D4254">
        <w:rPr>
          <w:b/>
          <w:lang w:val="fr-CA"/>
        </w:rPr>
        <w:t>Loi</w:t>
      </w:r>
      <w:r w:rsidRPr="009D4254">
        <w:rPr>
          <w:lang w:val="fr-CA"/>
        </w:rPr>
        <w:t> » désigne la [</w:t>
      </w:r>
      <w:r w:rsidRPr="009D4254">
        <w:rPr>
          <w:i/>
          <w:lang w:val="fr-CA"/>
        </w:rPr>
        <w:t>Loi can</w:t>
      </w:r>
      <w:r>
        <w:rPr>
          <w:i/>
          <w:lang w:val="fr-CA"/>
        </w:rPr>
        <w:t>o</w:t>
      </w:r>
      <w:r w:rsidRPr="009D4254">
        <w:rPr>
          <w:i/>
          <w:lang w:val="fr-CA"/>
        </w:rPr>
        <w:t>adienne sur les sociétés par actions</w:t>
      </w:r>
      <w:r w:rsidRPr="009D4254">
        <w:rPr>
          <w:lang w:val="fr-CA"/>
        </w:rPr>
        <w:t>].</w:t>
      </w:r>
    </w:p>
    <w:p w14:paraId="54AA7F2E" w14:textId="77777777" w:rsidR="00DF5CF9" w:rsidRPr="00986BEB" w:rsidRDefault="00DF5CF9">
      <w:pPr>
        <w:pStyle w:val="DefinitionL1"/>
        <w:rPr>
          <w:lang w:val="fr-CA"/>
        </w:rPr>
      </w:pPr>
      <w:bookmarkStart w:id="39" w:name="_Ref448380514"/>
      <w:r w:rsidRPr="009D4254">
        <w:rPr>
          <w:lang w:val="fr-CA"/>
        </w:rPr>
        <w:t>« </w:t>
      </w:r>
      <w:r w:rsidRPr="009D4254">
        <w:rPr>
          <w:b/>
          <w:lang w:val="fr-CA"/>
        </w:rPr>
        <w:t>Lois sur les valeurs mobilières canadiennes</w:t>
      </w:r>
      <w:r w:rsidRPr="009D4254">
        <w:rPr>
          <w:lang w:val="fr-CA"/>
        </w:rPr>
        <w:t> » désigne les lois sur les valeurs mobilières de chacune des provinces et de chacun de territoires du Canada, ainsi que les règles, normes, règlements, avis et instructions de</w:t>
      </w:r>
      <w:r>
        <w:rPr>
          <w:lang w:val="fr-CA"/>
        </w:rPr>
        <w:t>s</w:t>
      </w:r>
      <w:r w:rsidRPr="009D4254">
        <w:rPr>
          <w:lang w:val="fr-CA"/>
        </w:rPr>
        <w:t xml:space="preserve"> commission</w:t>
      </w:r>
      <w:r>
        <w:rPr>
          <w:lang w:val="fr-CA"/>
        </w:rPr>
        <w:t>s</w:t>
      </w:r>
      <w:r w:rsidRPr="009D4254">
        <w:rPr>
          <w:lang w:val="fr-CA"/>
        </w:rPr>
        <w:t xml:space="preserve"> des valeurs mobilières ou autre</w:t>
      </w:r>
      <w:r>
        <w:rPr>
          <w:lang w:val="fr-CA"/>
        </w:rPr>
        <w:t>s</w:t>
      </w:r>
      <w:r w:rsidRPr="009D4254">
        <w:rPr>
          <w:lang w:val="fr-CA"/>
        </w:rPr>
        <w:t xml:space="preserve"> autorité</w:t>
      </w:r>
      <w:r>
        <w:rPr>
          <w:lang w:val="fr-CA"/>
        </w:rPr>
        <w:t>s</w:t>
      </w:r>
      <w:r w:rsidRPr="009D4254">
        <w:rPr>
          <w:lang w:val="fr-CA"/>
        </w:rPr>
        <w:t xml:space="preserve"> en valeurs mobilières de </w:t>
      </w:r>
      <w:r>
        <w:rPr>
          <w:lang w:val="fr-CA"/>
        </w:rPr>
        <w:t xml:space="preserve">chacune des </w:t>
      </w:r>
      <w:r w:rsidRPr="009D4254">
        <w:rPr>
          <w:lang w:val="fr-CA"/>
        </w:rPr>
        <w:t xml:space="preserve">provinces et </w:t>
      </w:r>
      <w:r>
        <w:rPr>
          <w:lang w:val="fr-CA"/>
        </w:rPr>
        <w:t xml:space="preserve">de chacun des </w:t>
      </w:r>
      <w:r w:rsidRPr="009D4254">
        <w:rPr>
          <w:lang w:val="fr-CA"/>
        </w:rPr>
        <w:t>territoires</w:t>
      </w:r>
      <w:r>
        <w:rPr>
          <w:lang w:val="fr-CA"/>
        </w:rPr>
        <w:t xml:space="preserve"> du Canada</w:t>
      </w:r>
      <w:r w:rsidRPr="009D4254">
        <w:rPr>
          <w:lang w:val="fr-CA"/>
        </w:rPr>
        <w:t>.</w:t>
      </w:r>
      <w:bookmarkEnd w:id="39"/>
    </w:p>
    <w:p w14:paraId="2BDDECA4" w14:textId="77777777" w:rsidR="00DF5CF9" w:rsidRPr="00986BEB" w:rsidRDefault="00DF5CF9" w:rsidP="00F52467">
      <w:pPr>
        <w:pStyle w:val="DefinitionL1"/>
        <w:rPr>
          <w:lang w:val="fr-CA"/>
        </w:rPr>
      </w:pPr>
      <w:bookmarkStart w:id="40" w:name="_Ref448380528"/>
      <w:r w:rsidRPr="009D4254">
        <w:rPr>
          <w:lang w:val="fr-CA"/>
        </w:rPr>
        <w:t>« </w:t>
      </w:r>
      <w:r w:rsidRPr="009D4254">
        <w:rPr>
          <w:b/>
          <w:lang w:val="fr-CA"/>
        </w:rPr>
        <w:t>Membre de la famille immédiate</w:t>
      </w:r>
      <w:r w:rsidRPr="009D4254">
        <w:rPr>
          <w:lang w:val="fr-CA"/>
        </w:rPr>
        <w:t xml:space="preserve"> » désigne un enfant, l’enfant d’un conjoint, un petit </w:t>
      </w:r>
      <w:r w:rsidRPr="0059083D">
        <w:rPr>
          <w:lang w:val="fr-CA"/>
        </w:rPr>
        <w:t xml:space="preserve">enfant, un parent, </w:t>
      </w:r>
      <w:r w:rsidRPr="0059083D">
        <w:rPr>
          <w:color w:val="000000"/>
          <w:lang w:val="fr-CA"/>
        </w:rPr>
        <w:t xml:space="preserve">un beau-parent, un grand-parent, un conjoint (soit une personne avec laquelle la personne </w:t>
      </w:r>
      <w:r>
        <w:rPr>
          <w:color w:val="000000"/>
          <w:lang w:val="fr-CA"/>
        </w:rPr>
        <w:t xml:space="preserve">en question </w:t>
      </w:r>
      <w:r w:rsidRPr="0059083D">
        <w:rPr>
          <w:color w:val="000000"/>
          <w:lang w:val="fr-CA"/>
        </w:rPr>
        <w:t>est mariée ou avec laquelle elle vit dans une union conjugale hors du mariage), un partenaire de vie ou un autre partenaire domestique semblable reconnu par la loi, un frère, une sœur, une belle-mère, un beau-père, un beau</w:t>
      </w:r>
      <w:r>
        <w:rPr>
          <w:color w:val="000000"/>
          <w:lang w:val="fr-CA"/>
        </w:rPr>
        <w:noBreakHyphen/>
      </w:r>
      <w:r w:rsidRPr="0059083D">
        <w:rPr>
          <w:color w:val="000000"/>
          <w:lang w:val="fr-CA"/>
        </w:rPr>
        <w:t>fils, une belle-fille, un beau-frère ou une belle-sœur, y compris les relations adoptives, d’une personne physique mentionnée aux présentes</w:t>
      </w:r>
      <w:r w:rsidRPr="009D4254">
        <w:rPr>
          <w:lang w:val="fr-CA"/>
        </w:rPr>
        <w:t>.</w:t>
      </w:r>
      <w:bookmarkEnd w:id="40"/>
    </w:p>
    <w:p w14:paraId="7BCC1CC0" w14:textId="77777777" w:rsidR="00DF5CF9" w:rsidRPr="001C615A" w:rsidRDefault="00DF5CF9">
      <w:pPr>
        <w:pStyle w:val="DefinitionL1"/>
        <w:rPr>
          <w:lang w:val="fr-CA"/>
        </w:rPr>
      </w:pPr>
      <w:r w:rsidRPr="001C615A">
        <w:rPr>
          <w:lang w:val="fr-CA"/>
        </w:rPr>
        <w:t>« </w:t>
      </w:r>
      <w:r w:rsidRPr="001C615A">
        <w:rPr>
          <w:b/>
          <w:bCs/>
          <w:lang w:val="fr-CA"/>
        </w:rPr>
        <w:t>Membre du même groupe </w:t>
      </w:r>
      <w:r w:rsidRPr="001C615A">
        <w:rPr>
          <w:lang w:val="fr-CA"/>
        </w:rPr>
        <w:t xml:space="preserve">» désigne, à l’égard d’une Personne donnée, toute autre Personne qui, directement ou indirectement, contrôle cette Personne, est contrôlée par cette Personne ou se trouve avec cette Personne sous un contrôle commun, notamment un commandité, un membre dirigeant, un dirigeant, un administrateur ou un fiduciaire de cette Personne ou un fonds de capital de risque ou un autre fonds d’investissement qui existe actuellement ou existera ultérieurement et qui est contrôlé par un (1) ou plusieurs commandités, membres dirigeants ou conseillers en placements de cette Personne ou partage avec elle la même société de gestion ou le même conseiller en placements. </w:t>
      </w:r>
    </w:p>
    <w:p w14:paraId="6077F566" w14:textId="77777777" w:rsidR="00DF5CF9" w:rsidRPr="00986BEB" w:rsidRDefault="00DF5CF9">
      <w:pPr>
        <w:pStyle w:val="DefinitionL1"/>
        <w:rPr>
          <w:lang w:val="fr-CA"/>
        </w:rPr>
      </w:pPr>
      <w:bookmarkStart w:id="41" w:name="_Ref448380534"/>
      <w:r w:rsidRPr="009D4254">
        <w:rPr>
          <w:lang w:val="fr-CA"/>
        </w:rPr>
        <w:t>« </w:t>
      </w:r>
      <w:r w:rsidRPr="009D4254">
        <w:rPr>
          <w:b/>
          <w:lang w:val="fr-CA"/>
        </w:rPr>
        <w:t>Nouveaux titres</w:t>
      </w:r>
      <w:r w:rsidRPr="009D4254">
        <w:rPr>
          <w:lang w:val="fr-CA"/>
        </w:rPr>
        <w:t> » désigne, collectivement, les titres de capitaux propres de la Société, qu’ils soient ou non actuellement autorisés, ainsi que les droits, options ou bons de souscription permettant d’acquérir de tels titres de capitaux propres, ou des titres de quelque nature que ce soit dont la conversion, l’échange ou l’exercice permet ou pourrait permettre d’acquérir de tels titres de capitaux propres.</w:t>
      </w:r>
      <w:bookmarkEnd w:id="41"/>
    </w:p>
    <w:p w14:paraId="750E296F" w14:textId="77777777" w:rsidR="00DF5CF9" w:rsidRPr="00986BEB" w:rsidRDefault="00DF5CF9">
      <w:pPr>
        <w:pStyle w:val="DefinitionL1"/>
        <w:rPr>
          <w:color w:val="000000"/>
          <w:lang w:val="fr-CA"/>
        </w:rPr>
      </w:pPr>
      <w:bookmarkStart w:id="42" w:name="_Ref448380530"/>
      <w:r w:rsidRPr="009D4254">
        <w:rPr>
          <w:lang w:val="fr-CA"/>
        </w:rPr>
        <w:t>« </w:t>
      </w:r>
      <w:r>
        <w:rPr>
          <w:b/>
          <w:lang w:val="fr-CA"/>
        </w:rPr>
        <w:t>PAPE</w:t>
      </w:r>
      <w:r w:rsidRPr="009D4254">
        <w:rPr>
          <w:lang w:val="fr-CA"/>
        </w:rPr>
        <w:t> » désigne le premier appel public à l’épargne par voie de prise ferme</w:t>
      </w:r>
      <w:r w:rsidRPr="00986BEB">
        <w:rPr>
          <w:rStyle w:val="FootnoteReference"/>
          <w:lang w:val="fr-CA"/>
        </w:rPr>
        <w:footnoteReference w:id="7"/>
      </w:r>
      <w:r w:rsidRPr="009D4254">
        <w:rPr>
          <w:lang w:val="fr-CA"/>
        </w:rPr>
        <w:t xml:space="preserve"> visant les Actions ordinaires de la Société aux termes de la Loi de </w:t>
      </w:r>
      <w:r w:rsidRPr="00986BEB">
        <w:rPr>
          <w:lang w:val="fr-CA"/>
        </w:rPr>
        <w:t>1933</w:t>
      </w:r>
      <w:r w:rsidRPr="009D4254">
        <w:rPr>
          <w:lang w:val="fr-CA"/>
        </w:rPr>
        <w:t xml:space="preserve"> ou des Lois sur les valeurs mobilières canadiennes de toute province ou de tout territoire.</w:t>
      </w:r>
      <w:bookmarkEnd w:id="42"/>
    </w:p>
    <w:p w14:paraId="00C2C728" w14:textId="77777777" w:rsidR="00D423E9" w:rsidRPr="00986BEB" w:rsidRDefault="00D423E9" w:rsidP="00D423E9">
      <w:pPr>
        <w:pStyle w:val="DefinitionL1"/>
        <w:rPr>
          <w:lang w:val="fr-CA"/>
        </w:rPr>
      </w:pPr>
      <w:bookmarkStart w:id="43" w:name="_Ref448380523"/>
      <w:bookmarkStart w:id="44" w:name="_Ref448380526"/>
      <w:r w:rsidRPr="0059083D">
        <w:rPr>
          <w:lang w:val="fr-CA"/>
        </w:rPr>
        <w:t>[« </w:t>
      </w:r>
      <w:r w:rsidRPr="0059083D">
        <w:rPr>
          <w:b/>
          <w:lang w:val="fr-CA"/>
        </w:rPr>
        <w:t>Partie assujettie à des lois sur l’accès à l’information</w:t>
      </w:r>
      <w:r w:rsidRPr="0059083D">
        <w:rPr>
          <w:lang w:val="fr-CA"/>
        </w:rPr>
        <w:t xml:space="preserve"> » désigne une Personne qui, de l’avis [raisonnable] du Conseil d’administration, peut être assujettie à la </w:t>
      </w:r>
      <w:r w:rsidRPr="0059083D">
        <w:rPr>
          <w:i/>
          <w:lang w:val="fr-CA"/>
        </w:rPr>
        <w:t>Loi sur l’accès à l’information</w:t>
      </w:r>
      <w:r w:rsidRPr="0059083D">
        <w:rPr>
          <w:lang w:val="fr-CA"/>
        </w:rPr>
        <w:t>, L.R.C. (</w:t>
      </w:r>
      <w:r w:rsidRPr="00986BEB">
        <w:rPr>
          <w:lang w:val="fr-CA"/>
        </w:rPr>
        <w:t>1985</w:t>
      </w:r>
      <w:r w:rsidRPr="0059083D">
        <w:rPr>
          <w:lang w:val="fr-CA"/>
        </w:rPr>
        <w:t>), ch. A-</w:t>
      </w:r>
      <w:r w:rsidRPr="00986BEB">
        <w:rPr>
          <w:lang w:val="fr-CA"/>
        </w:rPr>
        <w:t>1</w:t>
      </w:r>
      <w:r w:rsidRPr="0059083D">
        <w:rPr>
          <w:i/>
          <w:lang w:val="fr-CA"/>
        </w:rPr>
        <w:t xml:space="preserve"> </w:t>
      </w:r>
      <w:r w:rsidRPr="0059083D">
        <w:rPr>
          <w:lang w:val="fr-CA"/>
        </w:rPr>
        <w:t>(la « </w:t>
      </w:r>
      <w:r w:rsidRPr="0059083D">
        <w:rPr>
          <w:b/>
          <w:lang w:val="fr-CA"/>
        </w:rPr>
        <w:t>LAI</w:t>
      </w:r>
      <w:r w:rsidRPr="0059083D">
        <w:rPr>
          <w:lang w:val="fr-CA"/>
        </w:rPr>
        <w:t xml:space="preserve"> »), à la loi intitulée </w:t>
      </w:r>
      <w:r w:rsidRPr="0059083D">
        <w:rPr>
          <w:i/>
          <w:iCs/>
          <w:lang w:val="fr-CA"/>
        </w:rPr>
        <w:t>Freedom of Information Act</w:t>
      </w:r>
      <w:r w:rsidRPr="0059083D">
        <w:rPr>
          <w:lang w:val="fr-CA"/>
        </w:rPr>
        <w:t xml:space="preserve">, </w:t>
      </w:r>
      <w:bookmarkStart w:id="45" w:name="DocXTextRef17"/>
      <w:r w:rsidRPr="00986BEB">
        <w:rPr>
          <w:lang w:val="fr-CA"/>
        </w:rPr>
        <w:t>5</w:t>
      </w:r>
      <w:bookmarkEnd w:id="45"/>
      <w:r w:rsidRPr="0059083D">
        <w:rPr>
          <w:lang w:val="fr-CA"/>
        </w:rPr>
        <w:t> U.S.C.</w:t>
      </w:r>
      <w:bookmarkStart w:id="46" w:name="DocXTextRef18"/>
      <w:r w:rsidRPr="0059083D">
        <w:rPr>
          <w:lang w:val="fr-CA"/>
        </w:rPr>
        <w:t> </w:t>
      </w:r>
      <w:r w:rsidRPr="00986BEB">
        <w:rPr>
          <w:lang w:val="fr-CA"/>
        </w:rPr>
        <w:t>552</w:t>
      </w:r>
      <w:bookmarkEnd w:id="46"/>
      <w:r w:rsidRPr="0059083D">
        <w:rPr>
          <w:lang w:val="fr-CA"/>
        </w:rPr>
        <w:t xml:space="preserve"> (la « </w:t>
      </w:r>
      <w:r w:rsidRPr="0059083D">
        <w:rPr>
          <w:b/>
          <w:lang w:val="fr-CA"/>
        </w:rPr>
        <w:t>FOIA</w:t>
      </w:r>
      <w:r w:rsidRPr="0059083D">
        <w:rPr>
          <w:lang w:val="fr-CA"/>
        </w:rPr>
        <w:t xml:space="preserve"> »), à toute loi provinciale, territoriale ou étatique sur l’accès aux documents publics, à toute loi provinciale, territoriale, étatique ou étrangère ayant un objet ou effet semblable à la LAI ou à la FOIA ou à toute autre exigence légale ou réglementaire semblable, </w:t>
      </w:r>
      <w:r>
        <w:rPr>
          <w:lang w:val="fr-CA"/>
        </w:rPr>
        <w:t xml:space="preserve">aux termes desquelles </w:t>
      </w:r>
      <w:r w:rsidRPr="0059083D">
        <w:rPr>
          <w:lang w:val="fr-CA"/>
        </w:rPr>
        <w:t xml:space="preserve">cette Personne </w:t>
      </w:r>
      <w:r>
        <w:rPr>
          <w:lang w:val="fr-CA"/>
        </w:rPr>
        <w:t xml:space="preserve">peut être tenue de </w:t>
      </w:r>
      <w:r w:rsidRPr="0059083D">
        <w:rPr>
          <w:lang w:val="fr-CA"/>
        </w:rPr>
        <w:t>communiquer des renseignements non publics fournis par la Société ou se rapportant à la Société.]</w:t>
      </w:r>
      <w:bookmarkEnd w:id="43"/>
    </w:p>
    <w:p w14:paraId="3B58904B" w14:textId="77777777" w:rsidR="00DF5CF9" w:rsidRPr="00986BEB" w:rsidRDefault="00DF5CF9">
      <w:pPr>
        <w:pStyle w:val="DefinitionL1"/>
        <w:rPr>
          <w:lang w:val="fr-CA"/>
        </w:rPr>
      </w:pPr>
      <w:r w:rsidRPr="009D4254">
        <w:rPr>
          <w:lang w:val="fr-CA"/>
        </w:rPr>
        <w:t>« </w:t>
      </w:r>
      <w:r w:rsidRPr="009D4254">
        <w:rPr>
          <w:b/>
          <w:lang w:val="fr-CA"/>
        </w:rPr>
        <w:t>PCGR</w:t>
      </w:r>
      <w:r w:rsidRPr="009D4254">
        <w:rPr>
          <w:lang w:val="fr-CA"/>
        </w:rPr>
        <w:t xml:space="preserve"> » désigne les principes comptables généralement reconnus </w:t>
      </w:r>
      <w:r w:rsidRPr="00C677F6">
        <w:rPr>
          <w:b/>
          <w:lang w:val="fr-CA"/>
        </w:rPr>
        <w:t>[pour les entreprises à capital fermé]</w:t>
      </w:r>
      <w:r w:rsidRPr="00C677F6">
        <w:rPr>
          <w:lang w:val="fr-CA"/>
        </w:rPr>
        <w:t xml:space="preserve"> [au Canada / aux États-Unis en vigueur à l’occasio</w:t>
      </w:r>
      <w:r w:rsidRPr="009D4254">
        <w:rPr>
          <w:lang w:val="fr-CA"/>
        </w:rPr>
        <w:t>n].</w:t>
      </w:r>
      <w:bookmarkEnd w:id="44"/>
    </w:p>
    <w:p w14:paraId="4FA46895" w14:textId="77777777" w:rsidR="00DF5CF9" w:rsidRPr="00986BEB" w:rsidRDefault="00DF5CF9">
      <w:pPr>
        <w:pStyle w:val="DefinitionL1"/>
        <w:rPr>
          <w:color w:val="000000"/>
          <w:lang w:val="fr-CA"/>
        </w:rPr>
      </w:pPr>
      <w:bookmarkStart w:id="47" w:name="_Ref448380535"/>
      <w:r w:rsidRPr="009D4254">
        <w:rPr>
          <w:lang w:val="fr-CA"/>
        </w:rPr>
        <w:t>« </w:t>
      </w:r>
      <w:r w:rsidRPr="009D4254">
        <w:rPr>
          <w:b/>
          <w:lang w:val="fr-CA"/>
        </w:rPr>
        <w:t>Personne</w:t>
      </w:r>
      <w:r w:rsidRPr="009D4254">
        <w:rPr>
          <w:lang w:val="fr-CA"/>
        </w:rPr>
        <w:t> » désigne tout</w:t>
      </w:r>
      <w:r>
        <w:rPr>
          <w:lang w:val="fr-CA"/>
        </w:rPr>
        <w:t xml:space="preserve"> particulier ou toute société par actions</w:t>
      </w:r>
      <w:r w:rsidRPr="009D4254">
        <w:rPr>
          <w:lang w:val="fr-CA"/>
        </w:rPr>
        <w:t>, société de personnes, fiducie, société à responsabilité</w:t>
      </w:r>
      <w:r>
        <w:rPr>
          <w:lang w:val="fr-CA"/>
        </w:rPr>
        <w:t xml:space="preserve"> limitée</w:t>
      </w:r>
      <w:r w:rsidRPr="009D4254">
        <w:rPr>
          <w:lang w:val="fr-CA"/>
        </w:rPr>
        <w:t>, association ou autre entité.</w:t>
      </w:r>
      <w:bookmarkEnd w:id="47"/>
    </w:p>
    <w:p w14:paraId="714D0613" w14:textId="77777777" w:rsidR="00DF5CF9" w:rsidRPr="00986BEB" w:rsidRDefault="00DF5CF9">
      <w:pPr>
        <w:pStyle w:val="DefinitionL1"/>
        <w:rPr>
          <w:lang w:val="fr-CA"/>
        </w:rPr>
      </w:pPr>
      <w:bookmarkStart w:id="48" w:name="_Ref448380527"/>
      <w:r w:rsidRPr="009D4254">
        <w:rPr>
          <w:lang w:val="fr-CA"/>
        </w:rPr>
        <w:t>« </w:t>
      </w:r>
      <w:r w:rsidRPr="009D4254">
        <w:rPr>
          <w:b/>
          <w:lang w:val="fr-CA"/>
        </w:rPr>
        <w:t>Porteur</w:t>
      </w:r>
      <w:r w:rsidRPr="009D4254">
        <w:rPr>
          <w:lang w:val="fr-CA"/>
        </w:rPr>
        <w:t> » désigne tout porteur de Titres à inscrire qui est partie à la présente Convention.</w:t>
      </w:r>
      <w:bookmarkEnd w:id="48"/>
    </w:p>
    <w:p w14:paraId="32EF00F6" w14:textId="77777777" w:rsidR="00DF5CF9" w:rsidRPr="00986BEB" w:rsidRDefault="00DF5CF9">
      <w:pPr>
        <w:pStyle w:val="DefinitionL1"/>
        <w:rPr>
          <w:lang w:val="fr-CA"/>
        </w:rPr>
      </w:pPr>
      <w:bookmarkStart w:id="49" w:name="_Ref448380529"/>
      <w:r w:rsidRPr="009D4254">
        <w:rPr>
          <w:lang w:val="fr-CA"/>
        </w:rPr>
        <w:t>« </w:t>
      </w:r>
      <w:r w:rsidRPr="009D4254">
        <w:rPr>
          <w:b/>
          <w:lang w:val="fr-CA"/>
        </w:rPr>
        <w:t>Porteurs demandeurs</w:t>
      </w:r>
      <w:r w:rsidRPr="009D4254">
        <w:rPr>
          <w:lang w:val="fr-CA"/>
        </w:rPr>
        <w:t xml:space="preserve"> » désigne, collectivement, des Porteurs qui </w:t>
      </w:r>
      <w:r>
        <w:rPr>
          <w:lang w:val="fr-CA"/>
        </w:rPr>
        <w:t>présentent</w:t>
      </w:r>
      <w:r w:rsidRPr="009D4254">
        <w:rPr>
          <w:lang w:val="fr-CA"/>
        </w:rPr>
        <w:t xml:space="preserve"> en bonne et due forme une demande d’inscription aux termes de la présente Convention.</w:t>
      </w:r>
      <w:bookmarkEnd w:id="49"/>
    </w:p>
    <w:p w14:paraId="1604B32A" w14:textId="77777777" w:rsidR="00DF5CF9" w:rsidRPr="00986BEB" w:rsidRDefault="00DF5CF9">
      <w:pPr>
        <w:pStyle w:val="DefinitionL1"/>
        <w:rPr>
          <w:lang w:val="fr-CA"/>
        </w:rPr>
      </w:pPr>
      <w:bookmarkStart w:id="50" w:name="_Ref448380543"/>
      <w:r w:rsidRPr="009D4254">
        <w:rPr>
          <w:lang w:val="fr-CA"/>
        </w:rPr>
        <w:t>« </w:t>
      </w:r>
      <w:r w:rsidRPr="009D4254">
        <w:rPr>
          <w:b/>
          <w:lang w:val="fr-CA"/>
        </w:rPr>
        <w:t>Règle </w:t>
      </w:r>
      <w:r w:rsidRPr="00986BEB">
        <w:rPr>
          <w:b/>
          <w:lang w:val="fr-CA"/>
        </w:rPr>
        <w:t>144</w:t>
      </w:r>
      <w:r w:rsidRPr="009D4254">
        <w:rPr>
          <w:b/>
          <w:lang w:val="fr-CA"/>
        </w:rPr>
        <w:t xml:space="preserve"> de la SEC</w:t>
      </w:r>
      <w:r w:rsidRPr="009D4254">
        <w:rPr>
          <w:lang w:val="fr-CA"/>
        </w:rPr>
        <w:t xml:space="preserve"> » désigne la </w:t>
      </w:r>
      <w:r w:rsidRPr="009D4254">
        <w:rPr>
          <w:i/>
          <w:iCs/>
          <w:lang w:val="fr-CA"/>
        </w:rPr>
        <w:t>Rule</w:t>
      </w:r>
      <w:bookmarkStart w:id="51" w:name="DocXTextRef39"/>
      <w:r w:rsidRPr="009D4254">
        <w:rPr>
          <w:i/>
          <w:iCs/>
          <w:lang w:val="fr-CA"/>
        </w:rPr>
        <w:t> </w:t>
      </w:r>
      <w:r w:rsidRPr="00986BEB">
        <w:rPr>
          <w:i/>
          <w:iCs/>
          <w:lang w:val="fr-CA"/>
        </w:rPr>
        <w:t>144</w:t>
      </w:r>
      <w:bookmarkEnd w:id="51"/>
      <w:r w:rsidRPr="009D4254">
        <w:rPr>
          <w:lang w:val="fr-CA"/>
        </w:rPr>
        <w:t xml:space="preserve"> prise par la SEC en application de la Loi de </w:t>
      </w:r>
      <w:r w:rsidRPr="00986BEB">
        <w:rPr>
          <w:lang w:val="fr-CA"/>
        </w:rPr>
        <w:t>1933</w:t>
      </w:r>
      <w:r w:rsidRPr="009D4254">
        <w:rPr>
          <w:lang w:val="fr-CA"/>
        </w:rPr>
        <w:t>.</w:t>
      </w:r>
      <w:bookmarkEnd w:id="50"/>
    </w:p>
    <w:p w14:paraId="4D5A04E9" w14:textId="77777777" w:rsidR="00DF5CF9" w:rsidRPr="00986BEB" w:rsidRDefault="00DF5CF9">
      <w:pPr>
        <w:pStyle w:val="DefinitionL1"/>
        <w:rPr>
          <w:lang w:val="fr-CA"/>
        </w:rPr>
      </w:pPr>
      <w:bookmarkStart w:id="52" w:name="_Ref448380544"/>
      <w:r w:rsidRPr="009D4254">
        <w:rPr>
          <w:lang w:val="fr-CA"/>
        </w:rPr>
        <w:t>« </w:t>
      </w:r>
      <w:r w:rsidRPr="009D4254">
        <w:rPr>
          <w:b/>
          <w:lang w:val="fr-CA"/>
        </w:rPr>
        <w:t>Règle </w:t>
      </w:r>
      <w:r w:rsidRPr="00986BEB">
        <w:rPr>
          <w:b/>
          <w:lang w:val="fr-CA"/>
        </w:rPr>
        <w:t>145</w:t>
      </w:r>
      <w:r w:rsidRPr="009D4254">
        <w:rPr>
          <w:b/>
          <w:lang w:val="fr-CA"/>
        </w:rPr>
        <w:t xml:space="preserve"> de la SEC</w:t>
      </w:r>
      <w:r w:rsidRPr="009D4254">
        <w:rPr>
          <w:lang w:val="fr-CA"/>
        </w:rPr>
        <w:t xml:space="preserve"> » désigne la </w:t>
      </w:r>
      <w:r w:rsidRPr="009D4254">
        <w:rPr>
          <w:i/>
          <w:iCs/>
          <w:lang w:val="fr-CA"/>
        </w:rPr>
        <w:t>Rule</w:t>
      </w:r>
      <w:bookmarkStart w:id="53" w:name="DocXTextRef40"/>
      <w:r w:rsidRPr="009D4254">
        <w:rPr>
          <w:i/>
          <w:iCs/>
          <w:lang w:val="fr-CA"/>
        </w:rPr>
        <w:t> </w:t>
      </w:r>
      <w:r w:rsidRPr="00986BEB">
        <w:rPr>
          <w:i/>
          <w:iCs/>
          <w:lang w:val="fr-CA"/>
        </w:rPr>
        <w:t>145</w:t>
      </w:r>
      <w:bookmarkEnd w:id="53"/>
      <w:r w:rsidRPr="009D4254">
        <w:rPr>
          <w:lang w:val="fr-CA"/>
        </w:rPr>
        <w:t xml:space="preserve"> prise par la SEC en application de la Loi de </w:t>
      </w:r>
      <w:r w:rsidRPr="00986BEB">
        <w:rPr>
          <w:lang w:val="fr-CA"/>
        </w:rPr>
        <w:t>1933</w:t>
      </w:r>
      <w:r w:rsidRPr="009D4254">
        <w:rPr>
          <w:lang w:val="fr-CA"/>
        </w:rPr>
        <w:t>.</w:t>
      </w:r>
      <w:bookmarkEnd w:id="52"/>
    </w:p>
    <w:p w14:paraId="117B3065" w14:textId="77777777" w:rsidR="00DF5CF9" w:rsidRPr="00986BEB" w:rsidRDefault="00DF5CF9">
      <w:pPr>
        <w:pStyle w:val="DefinitionL1"/>
        <w:rPr>
          <w:lang w:val="fr-CA"/>
        </w:rPr>
      </w:pPr>
      <w:bookmarkStart w:id="54" w:name="_Ref448380542"/>
      <w:r w:rsidRPr="009D4254">
        <w:rPr>
          <w:lang w:val="fr-CA"/>
        </w:rPr>
        <w:t>« </w:t>
      </w:r>
      <w:r w:rsidRPr="009D4254">
        <w:rPr>
          <w:b/>
          <w:lang w:val="fr-CA"/>
        </w:rPr>
        <w:t>SEC</w:t>
      </w:r>
      <w:r w:rsidRPr="009D4254">
        <w:rPr>
          <w:lang w:val="fr-CA"/>
        </w:rPr>
        <w:t> » désigne la Securities and Exchange Commission des États-Unis.</w:t>
      </w:r>
      <w:bookmarkEnd w:id="54"/>
    </w:p>
    <w:p w14:paraId="3DFC4CB0" w14:textId="77777777" w:rsidR="00DF5CF9" w:rsidRPr="00986BEB" w:rsidRDefault="00DF5CF9">
      <w:pPr>
        <w:pStyle w:val="DefinitionL1"/>
        <w:rPr>
          <w:lang w:val="fr-CA"/>
        </w:rPr>
      </w:pPr>
      <w:r w:rsidRPr="009D4254">
        <w:rPr>
          <w:lang w:val="fr-CA"/>
        </w:rPr>
        <w:t>« </w:t>
      </w:r>
      <w:r w:rsidRPr="009D4254">
        <w:rPr>
          <w:b/>
          <w:lang w:val="fr-CA"/>
        </w:rPr>
        <w:t>Statuts</w:t>
      </w:r>
      <w:r w:rsidRPr="009D4254">
        <w:rPr>
          <w:lang w:val="fr-CA"/>
        </w:rPr>
        <w:t> » désigne les statuts constitutifs ou les statuts de fusion de la Société et toutes les modifications qui y sont apportées à l’occasion.</w:t>
      </w:r>
    </w:p>
    <w:p w14:paraId="3BC948D9" w14:textId="22D14BBD" w:rsidR="00D423E9" w:rsidRPr="00986BEB" w:rsidRDefault="00D423E9" w:rsidP="00D423E9">
      <w:pPr>
        <w:pStyle w:val="DefinitionL1"/>
        <w:rPr>
          <w:lang w:val="fr-CA"/>
        </w:rPr>
      </w:pPr>
      <w:bookmarkStart w:id="55" w:name="_Ref448380537"/>
      <w:bookmarkStart w:id="56" w:name="_Ref448380538"/>
      <w:r w:rsidRPr="0059083D">
        <w:rPr>
          <w:lang w:val="fr-CA"/>
        </w:rPr>
        <w:t>« </w:t>
      </w:r>
      <w:r w:rsidRPr="0059083D">
        <w:rPr>
          <w:b/>
          <w:lang w:val="fr-CA"/>
        </w:rPr>
        <w:t>Titres à inscrire</w:t>
      </w:r>
      <w:r w:rsidRPr="0059083D">
        <w:rPr>
          <w:lang w:val="fr-CA"/>
        </w:rPr>
        <w:t xml:space="preserve"> » désigne </w:t>
      </w:r>
      <w:bookmarkStart w:id="57" w:name="DocXTextRef26"/>
      <w:r w:rsidRPr="0059083D">
        <w:rPr>
          <w:lang w:val="fr-CA"/>
        </w:rPr>
        <w:t>[(i)</w:t>
      </w:r>
      <w:bookmarkEnd w:id="57"/>
      <w:r w:rsidRPr="0059083D">
        <w:rPr>
          <w:lang w:val="fr-CA"/>
        </w:rPr>
        <w:t xml:space="preserve">] les Actions ordinaires émises ou pouvant être émises à la conversion des Actions privilégiées [de catégorie A][, à l’exclusion des Actions ordinaires émises à la conversion des Actions privilégiées [de catégorie A] conformément aux dispositions </w:t>
      </w:r>
      <w:r>
        <w:rPr>
          <w:lang w:val="fr-CA"/>
        </w:rPr>
        <w:t xml:space="preserve">de </w:t>
      </w:r>
      <w:r w:rsidRPr="0059083D">
        <w:rPr>
          <w:lang w:val="fr-CA"/>
        </w:rPr>
        <w:t>« conversion obligatoire spéciale » des Statuts de Société</w:t>
      </w:r>
      <w:bookmarkStart w:id="58" w:name="_Ref448380679"/>
      <w:r w:rsidRPr="0059083D">
        <w:rPr>
          <w:lang w:val="fr-CA"/>
        </w:rPr>
        <w:t>]</w:t>
      </w:r>
      <w:r w:rsidRPr="00986BEB">
        <w:rPr>
          <w:rStyle w:val="FootnoteReference"/>
          <w:lang w:val="fr-CA"/>
        </w:rPr>
        <w:footnoteReference w:id="8"/>
      </w:r>
      <w:bookmarkEnd w:id="58"/>
      <w:r w:rsidRPr="0059083D">
        <w:rPr>
          <w:szCs w:val="16"/>
          <w:lang w:val="fr-CA"/>
        </w:rPr>
        <w:t>; [(</w:t>
      </w:r>
      <w:r w:rsidRPr="00986BEB">
        <w:rPr>
          <w:szCs w:val="16"/>
          <w:lang w:val="fr-CA"/>
        </w:rPr>
        <w:t>ii</w:t>
      </w:r>
      <w:r w:rsidRPr="0059083D">
        <w:rPr>
          <w:szCs w:val="16"/>
          <w:lang w:val="fr-CA"/>
        </w:rPr>
        <w:t>) les Actions ordinaires</w:t>
      </w:r>
      <w:r>
        <w:rPr>
          <w:szCs w:val="16"/>
          <w:lang w:val="fr-CA"/>
        </w:rPr>
        <w:t xml:space="preserve"> acquises</w:t>
      </w:r>
      <w:r w:rsidRPr="0059083D">
        <w:rPr>
          <w:szCs w:val="16"/>
          <w:lang w:val="fr-CA"/>
        </w:rPr>
        <w:t>, ou les Actions ordinaires émises ou pouvant être émises (</w:t>
      </w:r>
      <w:r>
        <w:rPr>
          <w:szCs w:val="16"/>
          <w:lang w:val="fr-CA"/>
        </w:rPr>
        <w:t>directement ou indirectement</w:t>
      </w:r>
      <w:r w:rsidRPr="0059083D">
        <w:rPr>
          <w:szCs w:val="16"/>
          <w:lang w:val="fr-CA"/>
        </w:rPr>
        <w:t xml:space="preserve">) à la </w:t>
      </w:r>
      <w:r w:rsidRPr="0059083D">
        <w:rPr>
          <w:lang w:val="fr-CA"/>
        </w:rPr>
        <w:t xml:space="preserve">conversion et/ou à l’exercice d’autres titres de </w:t>
      </w:r>
      <w:r>
        <w:rPr>
          <w:lang w:val="fr-CA"/>
        </w:rPr>
        <w:t xml:space="preserve">la </w:t>
      </w:r>
      <w:r w:rsidRPr="0059083D">
        <w:rPr>
          <w:lang w:val="fr-CA"/>
        </w:rPr>
        <w:t>Société</w:t>
      </w:r>
      <w:r>
        <w:rPr>
          <w:lang w:val="fr-CA"/>
        </w:rPr>
        <w:t xml:space="preserve"> acquis</w:t>
      </w:r>
      <w:r w:rsidRPr="0059083D">
        <w:rPr>
          <w:lang w:val="fr-CA"/>
        </w:rPr>
        <w:t>, par les Investisseurs après la date des présentes]; [(</w:t>
      </w:r>
      <w:r w:rsidRPr="00986BEB">
        <w:rPr>
          <w:lang w:val="fr-CA"/>
        </w:rPr>
        <w:t>iii</w:t>
      </w:r>
      <w:r w:rsidRPr="0059083D">
        <w:rPr>
          <w:lang w:val="fr-CA"/>
        </w:rPr>
        <w:t xml:space="preserve">) les Titres à inscrire des </w:t>
      </w:r>
      <w:r>
        <w:rPr>
          <w:lang w:val="fr-CA"/>
        </w:rPr>
        <w:t>p</w:t>
      </w:r>
      <w:r w:rsidRPr="0059083D">
        <w:rPr>
          <w:lang w:val="fr-CA"/>
        </w:rPr>
        <w:t>orteurs clés</w:t>
      </w:r>
      <w:bookmarkStart w:id="61" w:name="_Ref448380680"/>
      <w:r w:rsidRPr="00986BEB">
        <w:rPr>
          <w:rStyle w:val="FootnoteReference"/>
          <w:lang w:val="fr-CA"/>
        </w:rPr>
        <w:footnoteReference w:id="9"/>
      </w:r>
      <w:bookmarkEnd w:id="61"/>
      <w:r w:rsidRPr="0059083D">
        <w:rPr>
          <w:lang w:val="fr-CA"/>
        </w:rPr>
        <w:t xml:space="preserve">, </w:t>
      </w:r>
      <w:r w:rsidRPr="0059083D">
        <w:rPr>
          <w:u w:val="single"/>
          <w:lang w:val="fr-CA"/>
        </w:rPr>
        <w:t>à condition</w:t>
      </w:r>
      <w:r w:rsidRPr="003D05A1">
        <w:rPr>
          <w:lang w:val="fr-CA"/>
        </w:rPr>
        <w:t xml:space="preserve">, </w:t>
      </w:r>
      <w:r w:rsidRPr="0059083D">
        <w:rPr>
          <w:u w:val="single"/>
          <w:lang w:val="fr-CA"/>
        </w:rPr>
        <w:t>toutefois</w:t>
      </w:r>
      <w:r>
        <w:rPr>
          <w:szCs w:val="16"/>
          <w:lang w:val="fr-CA"/>
        </w:rPr>
        <w:t xml:space="preserve">, </w:t>
      </w:r>
      <w:r w:rsidRPr="0059083D">
        <w:rPr>
          <w:szCs w:val="16"/>
          <w:lang w:val="fr-CA"/>
        </w:rPr>
        <w:t xml:space="preserve">que ces Titres à inscrire des </w:t>
      </w:r>
      <w:r>
        <w:rPr>
          <w:szCs w:val="16"/>
          <w:lang w:val="fr-CA"/>
        </w:rPr>
        <w:t>p</w:t>
      </w:r>
      <w:r w:rsidRPr="0059083D">
        <w:rPr>
          <w:szCs w:val="16"/>
          <w:lang w:val="fr-CA"/>
        </w:rPr>
        <w:t xml:space="preserve">orteurs clés ne soient pas réputés constituer des </w:t>
      </w:r>
      <w:r w:rsidRPr="0059083D">
        <w:rPr>
          <w:lang w:val="fr-CA"/>
        </w:rPr>
        <w:t xml:space="preserve">Titres à inscrire et que les Porteurs clés ne soient pas réputés être des Porteurs pour l’application des </w:t>
      </w:r>
      <w:r w:rsidRPr="0059083D">
        <w:rPr>
          <w:u w:val="single"/>
          <w:lang w:val="fr-CA"/>
        </w:rPr>
        <w:t>paragraphes </w:t>
      </w:r>
      <w:r w:rsidRPr="00986BEB">
        <w:rPr>
          <w:u w:val="single"/>
          <w:lang w:val="fr-CA"/>
        </w:rPr>
        <w:fldChar w:fldCharType="begin"/>
      </w:r>
      <w:r w:rsidRPr="00986BEB">
        <w:rPr>
          <w:u w:val="single"/>
          <w:lang w:val="fr-CA"/>
        </w:rPr>
        <w:instrText xml:space="preserve">  REF _Ref448380548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w:t>
      </w:r>
      <w:r w:rsidRPr="00986BEB">
        <w:rPr>
          <w:u w:val="single"/>
          <w:lang w:val="fr-CA"/>
        </w:rPr>
        <w:fldChar w:fldCharType="end"/>
      </w:r>
      <w:r w:rsidRPr="0059083D">
        <w:rPr>
          <w:lang w:val="fr-CA"/>
        </w:rPr>
        <w:t xml:space="preserve"> (et de tout</w:t>
      </w:r>
      <w:r>
        <w:rPr>
          <w:lang w:val="fr-CA"/>
        </w:rPr>
        <w:t>e</w:t>
      </w:r>
      <w:r w:rsidRPr="0059083D">
        <w:rPr>
          <w:lang w:val="fr-CA"/>
        </w:rPr>
        <w:t xml:space="preserve"> autre disposition applicable aux inscriptions aux termes du </w:t>
      </w:r>
      <w:r w:rsidRPr="0059083D">
        <w:rPr>
          <w:u w:val="single"/>
          <w:lang w:val="fr-CA"/>
        </w:rPr>
        <w:t>paragraphe </w:t>
      </w:r>
      <w:r w:rsidRPr="00986BEB">
        <w:rPr>
          <w:u w:val="single"/>
          <w:lang w:val="fr-CA"/>
        </w:rPr>
        <w:fldChar w:fldCharType="begin"/>
      </w:r>
      <w:r w:rsidRPr="00986BEB">
        <w:rPr>
          <w:u w:val="single"/>
          <w:lang w:val="fr-CA"/>
        </w:rPr>
        <w:instrText xml:space="preserve"> REF _Ref448380548 \r \h </w:instrText>
      </w:r>
      <w:r w:rsidRPr="00986BEB">
        <w:rPr>
          <w:u w:val="single"/>
          <w:lang w:val="fr-CA"/>
        </w:rPr>
      </w:r>
      <w:r w:rsidRPr="00986BEB">
        <w:rPr>
          <w:u w:val="single"/>
          <w:lang w:val="fr-CA"/>
        </w:rPr>
        <w:fldChar w:fldCharType="separate"/>
      </w:r>
      <w:r w:rsidR="00AE1D96">
        <w:rPr>
          <w:u w:val="single"/>
          <w:lang w:val="fr-CA"/>
        </w:rPr>
        <w:t>2.1</w:t>
      </w:r>
      <w:r w:rsidRPr="00986BEB">
        <w:rPr>
          <w:u w:val="single"/>
          <w:lang w:val="fr-CA"/>
        </w:rPr>
        <w:fldChar w:fldCharType="end"/>
      </w:r>
      <w:r w:rsidRPr="0059083D">
        <w:rPr>
          <w:lang w:val="fr-CA"/>
        </w:rPr>
        <w:t xml:space="preserve">), </w:t>
      </w:r>
      <w:r w:rsidRPr="00986BEB">
        <w:rPr>
          <w:u w:val="single"/>
          <w:lang w:val="fr-CA"/>
        </w:rPr>
        <w:fldChar w:fldCharType="begin"/>
      </w:r>
      <w:r w:rsidRPr="00986BEB">
        <w:rPr>
          <w:u w:val="single"/>
          <w:lang w:val="fr-CA"/>
        </w:rPr>
        <w:instrText xml:space="preserve">  REF _Ref448380586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2.10</w:t>
      </w:r>
      <w:r w:rsidRPr="00986BEB">
        <w:rPr>
          <w:u w:val="single"/>
          <w:lang w:val="fr-CA"/>
        </w:rPr>
        <w:fldChar w:fldCharType="end"/>
      </w:r>
      <w:r w:rsidRPr="0059083D">
        <w:rPr>
          <w:lang w:val="fr-CA"/>
        </w:rPr>
        <w:t>, [</w:t>
      </w:r>
      <w:r w:rsidRPr="00986BEB">
        <w:rPr>
          <w:u w:val="single"/>
          <w:lang w:val="fr-CA"/>
        </w:rPr>
        <w:fldChar w:fldCharType="begin"/>
      </w:r>
      <w:r w:rsidRPr="00986BEB">
        <w:rPr>
          <w:u w:val="single"/>
          <w:lang w:val="fr-CA"/>
        </w:rPr>
        <w:instrText xml:space="preserve"> REF _Ref118363317 \r \h  \* MERGEFORMAT </w:instrText>
      </w:r>
      <w:r w:rsidRPr="00986BEB">
        <w:rPr>
          <w:u w:val="single"/>
          <w:lang w:val="fr-CA"/>
        </w:rPr>
      </w:r>
      <w:r w:rsidRPr="00986BEB">
        <w:rPr>
          <w:u w:val="single"/>
          <w:lang w:val="fr-CA"/>
        </w:rPr>
        <w:fldChar w:fldCharType="separate"/>
      </w:r>
      <w:r w:rsidR="00AE1D96">
        <w:rPr>
          <w:u w:val="single"/>
          <w:lang w:val="fr-CA"/>
        </w:rPr>
        <w:t>3.1</w:t>
      </w:r>
      <w:r w:rsidRPr="00986BEB">
        <w:rPr>
          <w:u w:val="single"/>
          <w:lang w:val="fr-CA"/>
        </w:rPr>
        <w:fldChar w:fldCharType="end"/>
      </w:r>
      <w:r w:rsidRPr="0059083D">
        <w:rPr>
          <w:lang w:val="fr-CA"/>
        </w:rPr>
        <w:t xml:space="preserve">, </w:t>
      </w:r>
      <w:r w:rsidRPr="00986BEB">
        <w:rPr>
          <w:u w:val="single"/>
          <w:lang w:val="fr-CA"/>
        </w:rPr>
        <w:fldChar w:fldCharType="begin"/>
      </w:r>
      <w:r w:rsidRPr="00986BEB">
        <w:rPr>
          <w:u w:val="single"/>
          <w:lang w:val="fr-CA"/>
        </w:rPr>
        <w:instrText xml:space="preserve">  REF _Ref448380622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3.2</w:t>
      </w:r>
      <w:r w:rsidRPr="00986BEB">
        <w:rPr>
          <w:u w:val="single"/>
          <w:lang w:val="fr-CA"/>
        </w:rPr>
        <w:fldChar w:fldCharType="end"/>
      </w:r>
      <w:r w:rsidRPr="0059083D">
        <w:rPr>
          <w:lang w:val="fr-CA"/>
        </w:rPr>
        <w:t xml:space="preserv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lang w:val="fr-CA"/>
        </w:rPr>
        <w:t xml:space="preserve"> et </w:t>
      </w:r>
      <w:r w:rsidRPr="00986BEB">
        <w:rPr>
          <w:u w:val="single"/>
          <w:lang w:val="fr-CA"/>
        </w:rPr>
        <w:fldChar w:fldCharType="begin"/>
      </w:r>
      <w:r w:rsidRPr="00986BEB">
        <w:rPr>
          <w:u w:val="single"/>
          <w:lang w:val="fr-CA"/>
        </w:rPr>
        <w:instrText xml:space="preserve">  REF _Ref448380664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6.6</w:t>
      </w:r>
      <w:r w:rsidRPr="00986BEB">
        <w:rPr>
          <w:u w:val="single"/>
          <w:lang w:val="fr-CA"/>
        </w:rPr>
        <w:fldChar w:fldCharType="end"/>
      </w:r>
      <w:r w:rsidRPr="0059083D">
        <w:rPr>
          <w:u w:val="single"/>
          <w:lang w:val="fr-CA"/>
        </w:rPr>
        <w:t>]</w:t>
      </w:r>
      <w:r w:rsidRPr="0059083D">
        <w:rPr>
          <w:lang w:val="fr-CA"/>
        </w:rPr>
        <w:t>;] et [(</w:t>
      </w:r>
      <w:r w:rsidRPr="00986BEB">
        <w:rPr>
          <w:lang w:val="fr-CA"/>
        </w:rPr>
        <w:t>iv</w:t>
      </w:r>
      <w:r w:rsidRPr="0059083D">
        <w:rPr>
          <w:lang w:val="fr-CA"/>
        </w:rPr>
        <w:t>)] les Actions ordinaires émises à titre de dividende ou d’autre distribution (ou pouvant être émises à la conversion ou à l’exercice de tout bon de souscription, droit ou autre titre émis à titre de dividende ou d’autre distribution) à l’égard, en échange ou en remplacement des actions mentionnées [à la[aux] clause[s]</w:t>
      </w:r>
      <w:bookmarkStart w:id="62" w:name="DocXTextRef31"/>
      <w:r w:rsidRPr="0059083D">
        <w:rPr>
          <w:lang w:val="fr-CA"/>
        </w:rPr>
        <w:t> </w:t>
      </w:r>
      <w:r w:rsidRPr="0059083D">
        <w:rPr>
          <w:u w:val="single"/>
          <w:lang w:val="fr-CA"/>
        </w:rPr>
        <w:t>(</w:t>
      </w:r>
      <w:r w:rsidRPr="00986BEB">
        <w:rPr>
          <w:u w:val="single"/>
          <w:lang w:val="fr-CA"/>
        </w:rPr>
        <w:t>i</w:t>
      </w:r>
      <w:r w:rsidRPr="0059083D">
        <w:rPr>
          <w:u w:val="single"/>
          <w:lang w:val="fr-CA"/>
        </w:rPr>
        <w:t>)</w:t>
      </w:r>
      <w:bookmarkEnd w:id="62"/>
      <w:r w:rsidRPr="0059083D">
        <w:rPr>
          <w:lang w:val="fr-CA"/>
        </w:rPr>
        <w:t xml:space="preserve"> [et </w:t>
      </w:r>
      <w:r w:rsidRPr="0059083D">
        <w:rPr>
          <w:u w:val="single"/>
          <w:lang w:val="fr-CA"/>
        </w:rPr>
        <w:t>(</w:t>
      </w:r>
      <w:r w:rsidRPr="00986BEB">
        <w:rPr>
          <w:u w:val="single"/>
          <w:lang w:val="fr-CA"/>
        </w:rPr>
        <w:t>ii</w:t>
      </w:r>
      <w:r w:rsidRPr="0059083D">
        <w:rPr>
          <w:u w:val="single"/>
          <w:lang w:val="fr-CA"/>
        </w:rPr>
        <w:t>)</w:t>
      </w:r>
      <w:r w:rsidRPr="0059083D">
        <w:rPr>
          <w:szCs w:val="16"/>
          <w:lang w:val="fr-CA"/>
        </w:rPr>
        <w:t>]] ci-dessus; mais à l’exclusion</w:t>
      </w:r>
      <w:r>
        <w:rPr>
          <w:szCs w:val="16"/>
          <w:lang w:val="fr-CA"/>
        </w:rPr>
        <w:t>,</w:t>
      </w:r>
      <w:r w:rsidRPr="0059083D">
        <w:rPr>
          <w:szCs w:val="16"/>
          <w:lang w:val="fr-CA"/>
        </w:rPr>
        <w:t xml:space="preserve"> dans tous les cas</w:t>
      </w:r>
      <w:r>
        <w:rPr>
          <w:szCs w:val="16"/>
          <w:lang w:val="fr-CA"/>
        </w:rPr>
        <w:t>,</w:t>
      </w:r>
      <w:r w:rsidRPr="0059083D">
        <w:rPr>
          <w:szCs w:val="16"/>
          <w:lang w:val="fr-CA"/>
        </w:rPr>
        <w:t xml:space="preserve"> des Titres à inscrire vendus par une Personne dans le cadre d’une opération aux termes de laquelle les droits applicables prévus par la présente Convention ne sont pas cédés conformément au </w:t>
      </w:r>
      <w:r w:rsidRPr="0059083D">
        <w:rPr>
          <w:szCs w:val="16"/>
          <w:u w:val="single"/>
          <w:lang w:val="fr-CA"/>
        </w:rPr>
        <w:t>paragraphe </w:t>
      </w:r>
      <w:r w:rsidRPr="00986BEB">
        <w:rPr>
          <w:szCs w:val="16"/>
          <w:u w:val="single"/>
          <w:lang w:val="fr-CA"/>
        </w:rPr>
        <w:fldChar w:fldCharType="begin"/>
      </w:r>
      <w:r w:rsidRPr="00986BEB">
        <w:rPr>
          <w:szCs w:val="16"/>
          <w:u w:val="single"/>
          <w:lang w:val="fr-CA"/>
        </w:rPr>
        <w:instrText xml:space="preserve">  REF _Ref448380659 \w \h \* MERGEFORMAT </w:instrText>
      </w:r>
      <w:r w:rsidRPr="00986BEB">
        <w:rPr>
          <w:szCs w:val="16"/>
          <w:u w:val="single"/>
          <w:lang w:val="fr-CA"/>
        </w:rPr>
      </w:r>
      <w:r w:rsidRPr="00986BEB">
        <w:rPr>
          <w:szCs w:val="16"/>
          <w:u w:val="single"/>
          <w:lang w:val="fr-CA"/>
        </w:rPr>
        <w:fldChar w:fldCharType="separate"/>
      </w:r>
      <w:r w:rsidR="00AE1D96" w:rsidRPr="00AE1D96">
        <w:rPr>
          <w:color w:val="000000"/>
          <w:szCs w:val="16"/>
          <w:u w:val="single"/>
          <w:lang w:val="fr-CA"/>
        </w:rPr>
        <w:t>6.1</w:t>
      </w:r>
      <w:r w:rsidRPr="00986BEB">
        <w:rPr>
          <w:szCs w:val="16"/>
          <w:u w:val="single"/>
          <w:lang w:val="fr-CA"/>
        </w:rPr>
        <w:fldChar w:fldCharType="end"/>
      </w:r>
      <w:r w:rsidRPr="0059083D">
        <w:rPr>
          <w:szCs w:val="16"/>
          <w:lang w:val="fr-CA"/>
        </w:rPr>
        <w:t>, et à l’exclusion, pour l’application de l’</w:t>
      </w:r>
      <w:r w:rsidRPr="0059083D">
        <w:rPr>
          <w:szCs w:val="16"/>
          <w:u w:val="single"/>
          <w:lang w:val="fr-CA"/>
        </w:rPr>
        <w:t>article</w:t>
      </w:r>
      <w:bookmarkStart w:id="63" w:name="DocXTextRef24"/>
      <w:r w:rsidRPr="0059083D">
        <w:rPr>
          <w:szCs w:val="16"/>
          <w:u w:val="single"/>
          <w:lang w:val="fr-CA"/>
        </w:rPr>
        <w:t> </w:t>
      </w:r>
      <w:r w:rsidRPr="00986BEB">
        <w:rPr>
          <w:szCs w:val="16"/>
          <w:u w:val="single"/>
          <w:lang w:val="fr-CA"/>
        </w:rPr>
        <w:fldChar w:fldCharType="begin"/>
      </w:r>
      <w:r w:rsidRPr="00986BEB">
        <w:rPr>
          <w:szCs w:val="16"/>
          <w:u w:val="single"/>
          <w:lang w:val="fr-CA"/>
        </w:rPr>
        <w:instrText xml:space="preserve"> REF _Ref448381206 \r \h </w:instrText>
      </w:r>
      <w:r w:rsidRPr="00986BEB">
        <w:rPr>
          <w:szCs w:val="16"/>
          <w:u w:val="single"/>
          <w:lang w:val="fr-CA"/>
        </w:rPr>
      </w:r>
      <w:r w:rsidRPr="00986BEB">
        <w:rPr>
          <w:szCs w:val="16"/>
          <w:u w:val="single"/>
          <w:lang w:val="fr-CA"/>
        </w:rPr>
        <w:fldChar w:fldCharType="separate"/>
      </w:r>
      <w:r w:rsidR="00AE1D96">
        <w:rPr>
          <w:szCs w:val="16"/>
          <w:u w:val="single"/>
          <w:lang w:val="fr-CA"/>
        </w:rPr>
        <w:t>2</w:t>
      </w:r>
      <w:r w:rsidRPr="00986BEB">
        <w:rPr>
          <w:szCs w:val="16"/>
          <w:u w:val="single"/>
          <w:lang w:val="fr-CA"/>
        </w:rPr>
        <w:fldChar w:fldCharType="end"/>
      </w:r>
      <w:bookmarkEnd w:id="63"/>
      <w:r w:rsidRPr="003D0682">
        <w:rPr>
          <w:szCs w:val="16"/>
          <w:lang w:val="fr-CA"/>
        </w:rPr>
        <w:t>,</w:t>
      </w:r>
      <w:r w:rsidRPr="0059083D">
        <w:rPr>
          <w:lang w:val="fr-CA"/>
        </w:rPr>
        <w:t xml:space="preserve"> des actions à l’égard desquelles les droits d’inscription </w:t>
      </w:r>
      <w:r>
        <w:rPr>
          <w:lang w:val="fr-CA"/>
        </w:rPr>
        <w:t xml:space="preserve">se sont éteints </w:t>
      </w:r>
      <w:r w:rsidRPr="0059083D">
        <w:rPr>
          <w:lang w:val="fr-CA"/>
        </w:rPr>
        <w:t xml:space="preserve">conformément au </w:t>
      </w:r>
      <w:r w:rsidRPr="0059083D">
        <w:rPr>
          <w:u w:val="single"/>
          <w:lang w:val="fr-CA"/>
        </w:rPr>
        <w:t>paragraphe </w:t>
      </w:r>
      <w:r w:rsidRPr="00986BEB">
        <w:rPr>
          <w:u w:val="single"/>
          <w:lang w:val="fr-CA"/>
        </w:rPr>
        <w:fldChar w:fldCharType="begin"/>
      </w:r>
      <w:r w:rsidRPr="00986BEB">
        <w:rPr>
          <w:u w:val="single"/>
          <w:lang w:val="fr-CA"/>
        </w:rPr>
        <w:instrText xml:space="preserve">  REF _Ref448380592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2.13</w:t>
      </w:r>
      <w:r w:rsidRPr="00986BEB">
        <w:rPr>
          <w:u w:val="single"/>
          <w:lang w:val="fr-CA"/>
        </w:rPr>
        <w:fldChar w:fldCharType="end"/>
      </w:r>
      <w:r w:rsidRPr="0059083D">
        <w:rPr>
          <w:lang w:val="fr-CA"/>
        </w:rPr>
        <w:t xml:space="preserve"> de la présente Convention</w:t>
      </w:r>
      <w:bookmarkStart w:id="64" w:name="_Ref448380681"/>
      <w:r w:rsidRPr="00986BEB">
        <w:rPr>
          <w:rStyle w:val="FootnoteReference"/>
          <w:lang w:val="fr-CA"/>
        </w:rPr>
        <w:footnoteReference w:id="10"/>
      </w:r>
      <w:bookmarkEnd w:id="55"/>
      <w:bookmarkEnd w:id="64"/>
      <w:r w:rsidRPr="0059083D">
        <w:rPr>
          <w:lang w:val="fr-CA"/>
        </w:rPr>
        <w:t>.</w:t>
      </w:r>
      <w:r>
        <w:rPr>
          <w:lang w:val="fr-CA"/>
        </w:rPr>
        <w:t xml:space="preserve"> </w:t>
      </w:r>
    </w:p>
    <w:p w14:paraId="1316C60B" w14:textId="77777777" w:rsidR="00DF5CF9" w:rsidRPr="00986BEB" w:rsidRDefault="00DF5CF9">
      <w:pPr>
        <w:pStyle w:val="DefinitionL1"/>
        <w:rPr>
          <w:lang w:val="fr-CA"/>
        </w:rPr>
      </w:pPr>
      <w:r w:rsidRPr="0059083D">
        <w:rPr>
          <w:lang w:val="fr-CA"/>
        </w:rPr>
        <w:t>« </w:t>
      </w:r>
      <w:r w:rsidRPr="0059083D">
        <w:rPr>
          <w:b/>
          <w:lang w:val="fr-CA"/>
        </w:rPr>
        <w:t xml:space="preserve">Titres </w:t>
      </w:r>
      <w:r w:rsidRPr="004926D4">
        <w:rPr>
          <w:b/>
          <w:lang w:val="fr-CA"/>
        </w:rPr>
        <w:t>à inscrire</w:t>
      </w:r>
      <w:r w:rsidRPr="0059083D">
        <w:rPr>
          <w:b/>
          <w:lang w:val="fr-CA"/>
        </w:rPr>
        <w:t xml:space="preserve"> alors en circulation</w:t>
      </w:r>
      <w:r w:rsidRPr="0059083D">
        <w:rPr>
          <w:lang w:val="fr-CA"/>
        </w:rPr>
        <w:t xml:space="preserve"> » désigne le nombre d’actions </w:t>
      </w:r>
      <w:r>
        <w:rPr>
          <w:lang w:val="fr-CA"/>
        </w:rPr>
        <w:t xml:space="preserve">obtenu en additionnant le </w:t>
      </w:r>
      <w:r w:rsidRPr="0059083D">
        <w:rPr>
          <w:lang w:val="fr-CA"/>
        </w:rPr>
        <w:t xml:space="preserve">nombre d’Actions ordinaires en circulation qui sont des Titres à inscrire et </w:t>
      </w:r>
      <w:r>
        <w:rPr>
          <w:lang w:val="fr-CA"/>
        </w:rPr>
        <w:t>le</w:t>
      </w:r>
      <w:r w:rsidRPr="0059083D">
        <w:rPr>
          <w:lang w:val="fr-CA"/>
        </w:rPr>
        <w:t xml:space="preserve"> nombre d’Actions ordinaires pouvant être émises (directement ou indirectement) aux termes des titres pouvant alors être exercés et/ou convertis qui sont des Titres à inscrire.</w:t>
      </w:r>
      <w:bookmarkEnd w:id="56"/>
    </w:p>
    <w:p w14:paraId="2B86A616" w14:textId="77777777" w:rsidR="00D423E9" w:rsidRPr="00986BEB" w:rsidRDefault="00D423E9" w:rsidP="00D423E9">
      <w:pPr>
        <w:pStyle w:val="DefinitionL1"/>
        <w:rPr>
          <w:color w:val="000000"/>
          <w:lang w:val="fr-CA"/>
        </w:rPr>
      </w:pPr>
      <w:bookmarkStart w:id="65" w:name="_Ref448380532"/>
      <w:bookmarkStart w:id="66" w:name="_Ref448380541"/>
      <w:r w:rsidRPr="0059083D">
        <w:rPr>
          <w:lang w:val="fr-CA"/>
        </w:rPr>
        <w:t>[« </w:t>
      </w:r>
      <w:r w:rsidRPr="0059083D">
        <w:rPr>
          <w:b/>
          <w:lang w:val="fr-CA"/>
        </w:rPr>
        <w:t xml:space="preserve">Titres à inscrire des </w:t>
      </w:r>
      <w:r>
        <w:rPr>
          <w:b/>
          <w:lang w:val="fr-CA"/>
        </w:rPr>
        <w:t>p</w:t>
      </w:r>
      <w:r w:rsidRPr="0059083D">
        <w:rPr>
          <w:b/>
          <w:lang w:val="fr-CA"/>
        </w:rPr>
        <w:t>orteurs clés</w:t>
      </w:r>
      <w:r w:rsidRPr="0059083D">
        <w:rPr>
          <w:lang w:val="fr-CA"/>
        </w:rPr>
        <w:t xml:space="preserve"> » désigne </w:t>
      </w:r>
      <w:bookmarkStart w:id="67" w:name="DocXTextRef19"/>
      <w:r w:rsidRPr="0059083D">
        <w:rPr>
          <w:lang w:val="fr-CA"/>
        </w:rPr>
        <w:t>(</w:t>
      </w:r>
      <w:r w:rsidRPr="00986BEB">
        <w:rPr>
          <w:lang w:val="fr-CA"/>
        </w:rPr>
        <w:t>i</w:t>
      </w:r>
      <w:r w:rsidRPr="0059083D">
        <w:rPr>
          <w:lang w:val="fr-CA"/>
        </w:rPr>
        <w:t>)</w:t>
      </w:r>
      <w:bookmarkEnd w:id="67"/>
      <w:r w:rsidRPr="0059083D">
        <w:rPr>
          <w:lang w:val="fr-CA"/>
        </w:rPr>
        <w:t xml:space="preserve"> les [_____] Actions ordinaires détenues par les Porteurs clés et </w:t>
      </w:r>
      <w:bookmarkStart w:id="68" w:name="DocXTextRef20"/>
      <w:r w:rsidRPr="0059083D">
        <w:rPr>
          <w:lang w:val="fr-CA"/>
        </w:rPr>
        <w:t>(</w:t>
      </w:r>
      <w:r w:rsidRPr="00986BEB">
        <w:rPr>
          <w:lang w:val="fr-CA"/>
        </w:rPr>
        <w:t>ii</w:t>
      </w:r>
      <w:r w:rsidRPr="0059083D">
        <w:rPr>
          <w:lang w:val="fr-CA"/>
        </w:rPr>
        <w:t>)</w:t>
      </w:r>
      <w:bookmarkEnd w:id="68"/>
      <w:r w:rsidRPr="0059083D">
        <w:rPr>
          <w:lang w:val="fr-CA"/>
        </w:rPr>
        <w:t> les Actions ordinaires émises à titre de dividende ou d’autre distribution (ou pouvant être émises à la conversion ou à l’exercice de tout bon de souscription, droit ou autre titre qui est émis à titre de dividende ou d’autre distribution) à l’égard, en échange ou en remplacement de telles actions.]</w:t>
      </w:r>
      <w:bookmarkEnd w:id="65"/>
    </w:p>
    <w:p w14:paraId="1B4C7415" w14:textId="3D59ACCF" w:rsidR="00DF5CF9" w:rsidRPr="00986BEB" w:rsidRDefault="00DF5CF9">
      <w:pPr>
        <w:pStyle w:val="DefinitionL1"/>
        <w:rPr>
          <w:lang w:val="fr-CA"/>
        </w:rPr>
      </w:pPr>
      <w:r w:rsidRPr="0059083D">
        <w:rPr>
          <w:lang w:val="fr-CA"/>
        </w:rPr>
        <w:t>« </w:t>
      </w:r>
      <w:r w:rsidRPr="0059083D">
        <w:rPr>
          <w:b/>
          <w:lang w:val="fr-CA"/>
        </w:rPr>
        <w:t>Titres de négociation restreinte</w:t>
      </w:r>
      <w:r w:rsidRPr="0059083D">
        <w:rPr>
          <w:lang w:val="fr-CA"/>
        </w:rPr>
        <w:t xml:space="preserve"> » désigne les titres de la Société qui doivent </w:t>
      </w:r>
      <w:r>
        <w:rPr>
          <w:lang w:val="fr-CA"/>
        </w:rPr>
        <w:t xml:space="preserve">porter la mention </w:t>
      </w:r>
      <w:r w:rsidRPr="0059083D">
        <w:rPr>
          <w:lang w:val="fr-CA"/>
        </w:rPr>
        <w:t>prévue à l’</w:t>
      </w:r>
      <w:r w:rsidRPr="0059083D">
        <w:rPr>
          <w:u w:val="single"/>
          <w:lang w:val="fr-CA"/>
        </w:rPr>
        <w:t>alinéa </w:t>
      </w:r>
      <w:r w:rsidRPr="00986BEB">
        <w:rPr>
          <w:u w:val="single"/>
          <w:lang w:val="fr-CA"/>
        </w:rPr>
        <w:fldChar w:fldCharType="begin"/>
      </w:r>
      <w:r w:rsidRPr="00986BEB">
        <w:rPr>
          <w:u w:val="single"/>
          <w:lang w:val="fr-CA"/>
        </w:rPr>
        <w:instrText xml:space="preserve">  REF _Ref448380590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2.12b)</w:t>
      </w:r>
      <w:r w:rsidRPr="00986BEB">
        <w:rPr>
          <w:u w:val="single"/>
          <w:lang w:val="fr-CA"/>
        </w:rPr>
        <w:fldChar w:fldCharType="end"/>
      </w:r>
      <w:r w:rsidRPr="0059083D">
        <w:rPr>
          <w:lang w:val="fr-CA"/>
        </w:rPr>
        <w:t xml:space="preserve"> des présentes.</w:t>
      </w:r>
      <w:bookmarkEnd w:id="66"/>
    </w:p>
    <w:p w14:paraId="465B93AA" w14:textId="6C507EF2" w:rsidR="00037C7E" w:rsidRPr="00986BEB" w:rsidRDefault="002A0F83" w:rsidP="00380A1A">
      <w:pPr>
        <w:pStyle w:val="StandardL1"/>
        <w:keepNext/>
        <w:rPr>
          <w:lang w:val="fr-CA"/>
        </w:rPr>
      </w:pPr>
      <w:bookmarkStart w:id="69" w:name="_Ref448381206"/>
      <w:bookmarkStart w:id="70" w:name="_Ref448381407"/>
      <w:bookmarkStart w:id="71" w:name="_Ref448381565"/>
      <w:bookmarkStart w:id="72" w:name="_Ref448381679"/>
      <w:bookmarkStart w:id="73" w:name="_Ref448380682"/>
      <w:bookmarkStart w:id="74" w:name="_Toc132874716"/>
      <w:r w:rsidRPr="0059083D">
        <w:rPr>
          <w:lang w:val="fr-CA"/>
        </w:rPr>
        <w:t>Droits d’inscriptio</w:t>
      </w:r>
      <w:r w:rsidRPr="00382E39">
        <w:rPr>
          <w:lang w:val="fr-CA"/>
        </w:rPr>
        <w:t>n</w:t>
      </w:r>
      <w:r w:rsidR="000B08F2" w:rsidRPr="00986BEB">
        <w:rPr>
          <w:rStyle w:val="FootnoteReference"/>
          <w:lang w:val="fr-CA"/>
        </w:rPr>
        <w:footnoteReference w:id="11"/>
      </w:r>
      <w:bookmarkEnd w:id="69"/>
      <w:bookmarkEnd w:id="70"/>
      <w:bookmarkEnd w:id="71"/>
      <w:bookmarkEnd w:id="72"/>
      <w:bookmarkEnd w:id="73"/>
      <w:r w:rsidR="00382E39" w:rsidRPr="00382E39">
        <w:rPr>
          <w:lang w:val="fr-CA"/>
        </w:rPr>
        <w:t>.</w:t>
      </w:r>
      <w:bookmarkStart w:id="75" w:name="_Ref448380547"/>
      <w:bookmarkEnd w:id="74"/>
    </w:p>
    <w:p w14:paraId="423CC59D" w14:textId="265B56CF" w:rsidR="00037C7E" w:rsidRPr="009D4254" w:rsidRDefault="000B08F2" w:rsidP="00380A1A">
      <w:pPr>
        <w:pStyle w:val="StandardCont1"/>
        <w:keepNext/>
        <w:rPr>
          <w:lang w:val="fr-CA"/>
        </w:rPr>
      </w:pPr>
      <w:r w:rsidRPr="009D4254">
        <w:rPr>
          <w:snapToGrid w:val="0"/>
          <w:lang w:val="fr-CA"/>
        </w:rPr>
        <w:t xml:space="preserve">La Société </w:t>
      </w:r>
      <w:r w:rsidR="002A0F83" w:rsidRPr="009D4254">
        <w:rPr>
          <w:snapToGrid w:val="0"/>
          <w:lang w:val="fr-CA"/>
        </w:rPr>
        <w:t>convient de ce qui suit </w:t>
      </w:r>
      <w:r w:rsidRPr="009D4254">
        <w:rPr>
          <w:snapToGrid w:val="0"/>
          <w:lang w:val="fr-CA"/>
        </w:rPr>
        <w:t>:</w:t>
      </w:r>
      <w:bookmarkEnd w:id="75"/>
    </w:p>
    <w:p w14:paraId="3075DE3F" w14:textId="2E17634B" w:rsidR="00037C7E" w:rsidRPr="00986BEB" w:rsidRDefault="00E043C9">
      <w:pPr>
        <w:pStyle w:val="StandardL2"/>
        <w:rPr>
          <w:lang w:val="fr-CA"/>
        </w:rPr>
      </w:pPr>
      <w:bookmarkStart w:id="76" w:name="_Ref448380548"/>
      <w:bookmarkStart w:id="77" w:name="_Toc132874717"/>
      <w:r w:rsidRPr="009D4254">
        <w:rPr>
          <w:lang w:val="fr-CA"/>
        </w:rPr>
        <w:t>Inscription sur demande</w:t>
      </w:r>
      <w:r w:rsidR="000B08F2" w:rsidRPr="009D4254">
        <w:rPr>
          <w:snapToGrid w:val="0"/>
          <w:lang w:val="fr-CA"/>
        </w:rPr>
        <w:t>.</w:t>
      </w:r>
      <w:bookmarkEnd w:id="76"/>
      <w:bookmarkEnd w:id="77"/>
    </w:p>
    <w:p w14:paraId="34DBD1EE" w14:textId="592CED0A" w:rsidR="00037C7E" w:rsidRPr="00986BEB" w:rsidRDefault="00587932" w:rsidP="002A0F83">
      <w:pPr>
        <w:pStyle w:val="StandardL3"/>
        <w:rPr>
          <w:lang w:val="fr-CA"/>
        </w:rPr>
      </w:pPr>
      <w:bookmarkStart w:id="78" w:name="_Ref448380549"/>
      <w:r>
        <w:rPr>
          <w:szCs w:val="16"/>
          <w:u w:val="single"/>
          <w:lang w:val="fr-CA"/>
        </w:rPr>
        <w:t xml:space="preserve">Demande </w:t>
      </w:r>
      <w:r w:rsidR="00F95064">
        <w:rPr>
          <w:szCs w:val="16"/>
          <w:u w:val="single"/>
          <w:lang w:val="fr-CA"/>
        </w:rPr>
        <w:t xml:space="preserve">d’inscription </w:t>
      </w:r>
      <w:r w:rsidR="00EE2501">
        <w:rPr>
          <w:szCs w:val="16"/>
          <w:u w:val="single"/>
          <w:lang w:val="fr-CA"/>
        </w:rPr>
        <w:t>sur</w:t>
      </w:r>
      <w:r>
        <w:rPr>
          <w:szCs w:val="16"/>
          <w:u w:val="single"/>
          <w:lang w:val="fr-CA"/>
        </w:rPr>
        <w:t xml:space="preserve"> </w:t>
      </w:r>
      <w:r w:rsidR="00F52467" w:rsidRPr="009D4254">
        <w:rPr>
          <w:szCs w:val="16"/>
          <w:u w:val="single"/>
          <w:lang w:val="fr-CA"/>
        </w:rPr>
        <w:t>Formulaire S-</w:t>
      </w:r>
      <w:r w:rsidR="00F52467" w:rsidRPr="00986BEB">
        <w:rPr>
          <w:szCs w:val="16"/>
          <w:u w:val="single"/>
          <w:lang w:val="fr-CA"/>
        </w:rPr>
        <w:t>1</w:t>
      </w:r>
      <w:r w:rsidR="000B08F2" w:rsidRPr="009D4254">
        <w:rPr>
          <w:szCs w:val="16"/>
          <w:u w:val="single"/>
          <w:lang w:val="fr-CA"/>
        </w:rPr>
        <w:t xml:space="preserve"> </w:t>
      </w:r>
      <w:r w:rsidR="00E043C9" w:rsidRPr="009D4254">
        <w:rPr>
          <w:szCs w:val="16"/>
          <w:u w:val="single"/>
          <w:lang w:val="fr-CA"/>
        </w:rPr>
        <w:t xml:space="preserve">ou </w:t>
      </w:r>
      <w:r w:rsidR="000B08F2" w:rsidRPr="009D4254">
        <w:rPr>
          <w:szCs w:val="16"/>
          <w:u w:val="single"/>
          <w:lang w:val="fr-CA"/>
        </w:rPr>
        <w:t>F-</w:t>
      </w:r>
      <w:r w:rsidR="000B08F2" w:rsidRPr="00986BEB">
        <w:rPr>
          <w:szCs w:val="16"/>
          <w:u w:val="single"/>
          <w:lang w:val="fr-CA"/>
        </w:rPr>
        <w:t>1</w:t>
      </w:r>
      <w:r w:rsidR="000B08F2" w:rsidRPr="009D4254">
        <w:rPr>
          <w:lang w:val="fr-CA"/>
        </w:rPr>
        <w:t>.</w:t>
      </w:r>
      <w:r w:rsidR="000B08F2" w:rsidRPr="0059083D">
        <w:rPr>
          <w:lang w:val="fr-CA"/>
        </w:rPr>
        <w:t xml:space="preserve"> </w:t>
      </w:r>
      <w:r w:rsidR="00E043C9" w:rsidRPr="0059083D">
        <w:rPr>
          <w:lang w:val="fr-CA"/>
        </w:rPr>
        <w:t xml:space="preserve">Si, à tout moment après </w:t>
      </w:r>
      <w:r w:rsidR="000B08F2" w:rsidRPr="0059083D">
        <w:rPr>
          <w:lang w:val="fr-CA"/>
        </w:rPr>
        <w:t>[</w:t>
      </w:r>
      <w:bookmarkStart w:id="79" w:name="DocXTextRef43"/>
      <w:bookmarkStart w:id="80" w:name="a_i"/>
      <w:r w:rsidR="000B08F2" w:rsidRPr="0059083D">
        <w:rPr>
          <w:lang w:val="fr-CA"/>
        </w:rPr>
        <w:t>(i)</w:t>
      </w:r>
      <w:bookmarkEnd w:id="79"/>
      <w:bookmarkEnd w:id="80"/>
      <w:r>
        <w:rPr>
          <w:lang w:val="fr-CA"/>
        </w:rPr>
        <w:t> </w:t>
      </w:r>
      <w:r w:rsidR="007B78DE" w:rsidRPr="0059083D">
        <w:rPr>
          <w:lang w:val="fr-CA"/>
        </w:rPr>
        <w:t>[[in</w:t>
      </w:r>
      <w:r w:rsidR="00E043C9" w:rsidRPr="0059083D">
        <w:rPr>
          <w:lang w:val="fr-CA"/>
        </w:rPr>
        <w:t>diquer la date qui tombe</w:t>
      </w:r>
      <w:r w:rsidR="000B08F2" w:rsidRPr="00986BEB">
        <w:rPr>
          <w:rStyle w:val="FootnoteReference"/>
          <w:lang w:val="fr-CA"/>
        </w:rPr>
        <w:footnoteReference w:id="12"/>
      </w:r>
      <w:r>
        <w:rPr>
          <w:lang w:val="fr-CA"/>
        </w:rPr>
        <w:t>]</w:t>
      </w:r>
      <w:r w:rsidR="000B08F2" w:rsidRPr="0059083D">
        <w:rPr>
          <w:lang w:val="fr-CA"/>
        </w:rPr>
        <w:t xml:space="preserve"> </w:t>
      </w:r>
      <w:bookmarkStart w:id="81" w:name="DocXTextRef44"/>
      <w:r w:rsidR="00CF7B57">
        <w:rPr>
          <w:lang w:val="fr-CA"/>
        </w:rPr>
        <w:t>trois</w:t>
      </w:r>
      <w:r w:rsidR="00E043C9" w:rsidRPr="0059083D">
        <w:rPr>
          <w:lang w:val="fr-CA"/>
        </w:rPr>
        <w:t> </w:t>
      </w:r>
      <w:r w:rsidR="000B08F2" w:rsidRPr="0059083D">
        <w:rPr>
          <w:lang w:val="fr-CA"/>
        </w:rPr>
        <w:t>(</w:t>
      </w:r>
      <w:r w:rsidR="000B08F2" w:rsidRPr="00986BEB">
        <w:rPr>
          <w:lang w:val="fr-CA"/>
        </w:rPr>
        <w:t>3</w:t>
      </w:r>
      <w:r w:rsidR="000B08F2" w:rsidRPr="0059083D">
        <w:rPr>
          <w:lang w:val="fr-CA"/>
        </w:rPr>
        <w:t>)</w:t>
      </w:r>
      <w:bookmarkEnd w:id="81"/>
      <w:r>
        <w:rPr>
          <w:lang w:val="fr-CA"/>
        </w:rPr>
        <w:t xml:space="preserve"> /</w:t>
      </w:r>
      <w:r w:rsidR="000B08F2" w:rsidRPr="0059083D">
        <w:rPr>
          <w:lang w:val="fr-CA"/>
        </w:rPr>
        <w:t xml:space="preserve"> </w:t>
      </w:r>
      <w:r w:rsidR="00E043C9" w:rsidRPr="0059083D">
        <w:rPr>
          <w:lang w:val="fr-CA"/>
        </w:rPr>
        <w:t>cinq </w:t>
      </w:r>
      <w:r w:rsidR="000B08F2" w:rsidRPr="0059083D">
        <w:rPr>
          <w:lang w:val="fr-CA"/>
        </w:rPr>
        <w:t>(</w:t>
      </w:r>
      <w:r w:rsidR="000B08F2" w:rsidRPr="00986BEB">
        <w:rPr>
          <w:lang w:val="fr-CA"/>
        </w:rPr>
        <w:t>5</w:t>
      </w:r>
      <w:r w:rsidR="000B08F2" w:rsidRPr="0059083D">
        <w:rPr>
          <w:lang w:val="fr-CA"/>
        </w:rPr>
        <w:t>)</w:t>
      </w:r>
      <w:r w:rsidR="00E043C9" w:rsidRPr="0059083D">
        <w:rPr>
          <w:lang w:val="fr-CA"/>
        </w:rPr>
        <w:t> </w:t>
      </w:r>
      <w:r w:rsidR="00CF7B57">
        <w:rPr>
          <w:lang w:val="fr-CA"/>
        </w:rPr>
        <w:t>ans</w:t>
      </w:r>
      <w:r w:rsidR="000B08F2" w:rsidRPr="0059083D">
        <w:rPr>
          <w:lang w:val="fr-CA"/>
        </w:rPr>
        <w:t xml:space="preserve">] </w:t>
      </w:r>
      <w:r w:rsidR="00CF7B57">
        <w:rPr>
          <w:lang w:val="fr-CA"/>
        </w:rPr>
        <w:t>suivant</w:t>
      </w:r>
      <w:r w:rsidR="00E043C9" w:rsidRPr="0059083D">
        <w:rPr>
          <w:lang w:val="fr-CA"/>
        </w:rPr>
        <w:t xml:space="preserve"> la </w:t>
      </w:r>
      <w:r w:rsidR="000B08F2" w:rsidRPr="0059083D">
        <w:rPr>
          <w:lang w:val="fr-CA"/>
        </w:rPr>
        <w:t xml:space="preserve">date de la présente Convention </w:t>
      </w:r>
      <w:r w:rsidR="00E043C9" w:rsidRPr="0059083D">
        <w:rPr>
          <w:lang w:val="fr-CA"/>
        </w:rPr>
        <w:t>ou</w:t>
      </w:r>
      <w:r w:rsidR="00A06C37">
        <w:rPr>
          <w:lang w:val="fr-CA"/>
        </w:rPr>
        <w:t>,</w:t>
      </w:r>
      <w:r w:rsidR="00E043C9" w:rsidRPr="0059083D">
        <w:rPr>
          <w:lang w:val="fr-CA"/>
        </w:rPr>
        <w:t xml:space="preserve"> </w:t>
      </w:r>
      <w:r w:rsidR="00A06C37" w:rsidRPr="0059083D">
        <w:rPr>
          <w:lang w:val="fr-CA"/>
        </w:rPr>
        <w:t xml:space="preserve">s’il est antérieur, </w:t>
      </w:r>
      <w:r w:rsidR="000B08F2" w:rsidRPr="0059083D">
        <w:rPr>
          <w:lang w:val="fr-CA"/>
        </w:rPr>
        <w:t>(</w:t>
      </w:r>
      <w:r w:rsidR="000B08F2" w:rsidRPr="00986BEB">
        <w:rPr>
          <w:lang w:val="fr-CA"/>
        </w:rPr>
        <w:t>ii</w:t>
      </w:r>
      <w:r w:rsidR="000B08F2" w:rsidRPr="0059083D">
        <w:rPr>
          <w:lang w:val="fr-CA"/>
        </w:rPr>
        <w:t>)]</w:t>
      </w:r>
      <w:r w:rsidR="00A06C37">
        <w:rPr>
          <w:lang w:val="fr-CA"/>
        </w:rPr>
        <w:t> </w:t>
      </w:r>
      <w:r w:rsidR="000B08F2" w:rsidRPr="0059083D">
        <w:rPr>
          <w:lang w:val="fr-CA"/>
        </w:rPr>
        <w:t>[</w:t>
      </w:r>
      <w:r w:rsidR="00E043C9" w:rsidRPr="0059083D">
        <w:rPr>
          <w:lang w:val="fr-CA"/>
        </w:rPr>
        <w:t>le cent quatre-vingtième </w:t>
      </w:r>
      <w:r w:rsidR="000B08F2" w:rsidRPr="0059083D">
        <w:rPr>
          <w:lang w:val="fr-CA"/>
        </w:rPr>
        <w:t>(</w:t>
      </w:r>
      <w:r w:rsidR="000B08F2" w:rsidRPr="00986BEB">
        <w:rPr>
          <w:lang w:val="fr-CA"/>
        </w:rPr>
        <w:t>180</w:t>
      </w:r>
      <w:r w:rsidR="00E043C9" w:rsidRPr="0059083D">
        <w:rPr>
          <w:vertAlign w:val="superscript"/>
          <w:lang w:val="fr-CA"/>
        </w:rPr>
        <w:t>e</w:t>
      </w:r>
      <w:r w:rsidR="000B08F2" w:rsidRPr="0059083D">
        <w:rPr>
          <w:lang w:val="fr-CA"/>
        </w:rPr>
        <w:t>)]</w:t>
      </w:r>
      <w:r w:rsidR="00E043C9" w:rsidRPr="0059083D">
        <w:rPr>
          <w:lang w:val="fr-CA"/>
        </w:rPr>
        <w:t> jour</w:t>
      </w:r>
      <w:bookmarkStart w:id="82" w:name="_Ref448380683"/>
      <w:r w:rsidR="000B08F2" w:rsidRPr="00986BEB">
        <w:rPr>
          <w:rStyle w:val="FootnoteReference"/>
          <w:lang w:val="fr-CA"/>
        </w:rPr>
        <w:footnoteReference w:id="13"/>
      </w:r>
      <w:bookmarkEnd w:id="82"/>
      <w:r w:rsidR="000B08F2" w:rsidRPr="0059083D">
        <w:rPr>
          <w:lang w:val="fr-CA"/>
        </w:rPr>
        <w:t xml:space="preserve"> </w:t>
      </w:r>
      <w:r w:rsidR="00E043C9" w:rsidRPr="0059083D">
        <w:rPr>
          <w:lang w:val="fr-CA"/>
        </w:rPr>
        <w:t xml:space="preserve">suivant la date </w:t>
      </w:r>
      <w:r w:rsidR="0016271C" w:rsidRPr="0059083D">
        <w:rPr>
          <w:lang w:val="fr-CA"/>
        </w:rPr>
        <w:t xml:space="preserve">d’entrée en vigueur </w:t>
      </w:r>
      <w:r w:rsidR="00E043C9" w:rsidRPr="0059083D">
        <w:rPr>
          <w:lang w:val="fr-CA"/>
        </w:rPr>
        <w:t xml:space="preserve">de la </w:t>
      </w:r>
      <w:r w:rsidR="002A0F83" w:rsidRPr="0059083D">
        <w:rPr>
          <w:lang w:val="fr-CA"/>
        </w:rPr>
        <w:t>déclaration d’inscription</w:t>
      </w:r>
      <w:r w:rsidR="000B08F2" w:rsidRPr="0059083D">
        <w:rPr>
          <w:lang w:val="fr-CA"/>
        </w:rPr>
        <w:t xml:space="preserve"> </w:t>
      </w:r>
      <w:r w:rsidR="00E043C9" w:rsidRPr="0059083D">
        <w:rPr>
          <w:lang w:val="fr-CA"/>
        </w:rPr>
        <w:t>pour le PAPE</w:t>
      </w:r>
      <w:r w:rsidR="000B08F2" w:rsidRPr="0059083D">
        <w:rPr>
          <w:lang w:val="fr-CA"/>
        </w:rPr>
        <w:t xml:space="preserve">, </w:t>
      </w:r>
      <w:r w:rsidR="00E043C9" w:rsidRPr="0059083D">
        <w:rPr>
          <w:lang w:val="fr-CA"/>
        </w:rPr>
        <w:t xml:space="preserve">les Porteurs de </w:t>
      </w:r>
      <w:r w:rsidR="000B08F2" w:rsidRPr="0059083D">
        <w:rPr>
          <w:lang w:val="fr-CA"/>
        </w:rPr>
        <w:t>[_______</w:t>
      </w:r>
      <w:r w:rsidR="00E043C9" w:rsidRPr="0059083D">
        <w:rPr>
          <w:lang w:val="fr-CA"/>
        </w:rPr>
        <w:t> pour cent</w:t>
      </w:r>
      <w:r w:rsidR="000B08F2" w:rsidRPr="0059083D">
        <w:rPr>
          <w:lang w:val="fr-CA"/>
        </w:rPr>
        <w:t xml:space="preserve"> (___</w:t>
      </w:r>
      <w:r w:rsidR="00E043C9" w:rsidRPr="0059083D">
        <w:rPr>
          <w:lang w:val="fr-CA"/>
        </w:rPr>
        <w:t> </w:t>
      </w:r>
      <w:r w:rsidR="000B08F2" w:rsidRPr="0059083D">
        <w:rPr>
          <w:lang w:val="fr-CA"/>
        </w:rPr>
        <w:t>%</w:t>
      </w:r>
      <w:bookmarkStart w:id="83" w:name="_Ref448380684"/>
      <w:r w:rsidR="000B08F2" w:rsidRPr="00986BEB">
        <w:rPr>
          <w:rStyle w:val="FootnoteReference"/>
          <w:lang w:val="fr-CA"/>
        </w:rPr>
        <w:footnoteReference w:id="14"/>
      </w:r>
      <w:bookmarkEnd w:id="83"/>
      <w:r w:rsidR="00D314E0" w:rsidRPr="0059083D">
        <w:rPr>
          <w:lang w:val="fr-CA"/>
        </w:rPr>
        <w:t>)]</w:t>
      </w:r>
      <w:r w:rsidR="00D314E0">
        <w:rPr>
          <w:lang w:val="fr-CA"/>
        </w:rPr>
        <w:t xml:space="preserve"> </w:t>
      </w:r>
      <w:r w:rsidR="000B08F2" w:rsidRPr="0059083D">
        <w:rPr>
          <w:lang w:val="fr-CA"/>
        </w:rPr>
        <w:t xml:space="preserve">des </w:t>
      </w:r>
      <w:r w:rsidR="0006561D" w:rsidRPr="0059083D">
        <w:rPr>
          <w:lang w:val="fr-CA"/>
        </w:rPr>
        <w:t>Titres à inscrire</w:t>
      </w:r>
      <w:r w:rsidR="00D82735" w:rsidRPr="0059083D">
        <w:rPr>
          <w:lang w:val="fr-CA"/>
        </w:rPr>
        <w:t xml:space="preserve"> </w:t>
      </w:r>
      <w:r w:rsidR="002A0F83" w:rsidRPr="0059083D">
        <w:rPr>
          <w:lang w:val="fr-CA"/>
        </w:rPr>
        <w:t>alors en circulation</w:t>
      </w:r>
      <w:r w:rsidR="00D82735" w:rsidRPr="0059083D">
        <w:rPr>
          <w:lang w:val="fr-CA"/>
        </w:rPr>
        <w:t xml:space="preserve"> </w:t>
      </w:r>
      <w:r w:rsidR="00E043C9" w:rsidRPr="0059083D">
        <w:rPr>
          <w:lang w:val="fr-CA"/>
        </w:rPr>
        <w:t xml:space="preserve">demandent à </w:t>
      </w:r>
      <w:r w:rsidR="000B08F2" w:rsidRPr="0059083D">
        <w:rPr>
          <w:lang w:val="fr-CA"/>
        </w:rPr>
        <w:t>la Société</w:t>
      </w:r>
      <w:r w:rsidR="00D82735" w:rsidRPr="0059083D">
        <w:rPr>
          <w:lang w:val="fr-CA"/>
        </w:rPr>
        <w:t xml:space="preserve"> </w:t>
      </w:r>
      <w:r w:rsidR="00E043C9" w:rsidRPr="0059083D">
        <w:rPr>
          <w:lang w:val="fr-CA"/>
        </w:rPr>
        <w:t xml:space="preserve">de déposer </w:t>
      </w:r>
      <w:r w:rsidR="0016271C" w:rsidRPr="0059083D">
        <w:rPr>
          <w:lang w:val="fr-CA"/>
        </w:rPr>
        <w:t xml:space="preserve">une déclaration d’inscription sur </w:t>
      </w:r>
      <w:r w:rsidR="00F52467" w:rsidRPr="0059083D">
        <w:rPr>
          <w:lang w:val="fr-CA"/>
        </w:rPr>
        <w:t>Formulaire S-</w:t>
      </w:r>
      <w:r w:rsidR="00F52467" w:rsidRPr="00986BEB">
        <w:rPr>
          <w:lang w:val="fr-CA"/>
        </w:rPr>
        <w:t>1</w:t>
      </w:r>
      <w:r w:rsidR="00D82735" w:rsidRPr="0059083D">
        <w:rPr>
          <w:lang w:val="fr-CA"/>
        </w:rPr>
        <w:t xml:space="preserve"> </w:t>
      </w:r>
      <w:r w:rsidR="00E043C9" w:rsidRPr="0059083D">
        <w:rPr>
          <w:lang w:val="fr-CA"/>
        </w:rPr>
        <w:t xml:space="preserve">ou </w:t>
      </w:r>
      <w:r w:rsidR="0016271C" w:rsidRPr="0059083D">
        <w:rPr>
          <w:lang w:val="fr-CA"/>
        </w:rPr>
        <w:t xml:space="preserve">sur </w:t>
      </w:r>
      <w:r w:rsidR="00F52467" w:rsidRPr="0059083D">
        <w:rPr>
          <w:lang w:val="fr-CA"/>
        </w:rPr>
        <w:t>Formulaire F-</w:t>
      </w:r>
      <w:r w:rsidR="00F52467" w:rsidRPr="00986BEB">
        <w:rPr>
          <w:lang w:val="fr-CA"/>
        </w:rPr>
        <w:t>1</w:t>
      </w:r>
      <w:r w:rsidR="00D82735" w:rsidRPr="0059083D">
        <w:rPr>
          <w:lang w:val="fr-CA"/>
        </w:rPr>
        <w:t xml:space="preserve"> </w:t>
      </w:r>
      <w:r w:rsidR="00E043C9" w:rsidRPr="0059083D">
        <w:rPr>
          <w:lang w:val="fr-CA"/>
        </w:rPr>
        <w:t>ou un prospectus canadien</w:t>
      </w:r>
      <w:bookmarkStart w:id="84" w:name="_Ref448380685"/>
      <w:r w:rsidR="000B08F2" w:rsidRPr="00986BEB">
        <w:rPr>
          <w:rStyle w:val="FootnoteReference"/>
          <w:lang w:val="fr-CA"/>
        </w:rPr>
        <w:footnoteReference w:id="15"/>
      </w:r>
      <w:bookmarkEnd w:id="84"/>
      <w:r w:rsidR="000B08F2" w:rsidRPr="0059083D">
        <w:rPr>
          <w:lang w:val="fr-CA"/>
        </w:rPr>
        <w:t xml:space="preserve"> </w:t>
      </w:r>
      <w:r w:rsidR="00E043C9" w:rsidRPr="0059083D">
        <w:rPr>
          <w:lang w:val="fr-CA"/>
        </w:rPr>
        <w:t xml:space="preserve">visant </w:t>
      </w:r>
      <w:r w:rsidR="000B08F2" w:rsidRPr="0059083D">
        <w:rPr>
          <w:lang w:val="fr-CA"/>
        </w:rPr>
        <w:t>[</w:t>
      </w:r>
      <w:r w:rsidR="00E043C9" w:rsidRPr="0059083D">
        <w:rPr>
          <w:lang w:val="fr-CA"/>
        </w:rPr>
        <w:t xml:space="preserve">au moins quarante pour cent </w:t>
      </w:r>
      <w:r w:rsidR="000B08F2" w:rsidRPr="0059083D">
        <w:rPr>
          <w:lang w:val="fr-CA"/>
        </w:rPr>
        <w:t>(</w:t>
      </w:r>
      <w:r w:rsidR="000B08F2" w:rsidRPr="00986BEB">
        <w:rPr>
          <w:lang w:val="fr-CA"/>
        </w:rPr>
        <w:t>40</w:t>
      </w:r>
      <w:r w:rsidR="00E043C9" w:rsidRPr="0059083D">
        <w:rPr>
          <w:lang w:val="fr-CA"/>
        </w:rPr>
        <w:t> </w:t>
      </w:r>
      <w:r w:rsidR="000B08F2" w:rsidRPr="0059083D">
        <w:rPr>
          <w:lang w:val="fr-CA"/>
        </w:rPr>
        <w:t>%</w:t>
      </w:r>
      <w:bookmarkStart w:id="85" w:name="_Ref448380686"/>
      <w:r w:rsidR="000B08F2" w:rsidRPr="00986BEB">
        <w:rPr>
          <w:rStyle w:val="FootnoteReference"/>
          <w:lang w:val="fr-CA"/>
        </w:rPr>
        <w:footnoteReference w:id="16"/>
      </w:r>
      <w:bookmarkEnd w:id="85"/>
      <w:r w:rsidR="00D314E0" w:rsidRPr="0059083D">
        <w:rPr>
          <w:lang w:val="fr-CA"/>
        </w:rPr>
        <w:t>)]</w:t>
      </w:r>
      <w:r w:rsidR="000B08F2" w:rsidRPr="0059083D">
        <w:rPr>
          <w:lang w:val="fr-CA"/>
        </w:rPr>
        <w:t xml:space="preserve"> des </w:t>
      </w:r>
      <w:r w:rsidR="0006561D" w:rsidRPr="0059083D">
        <w:rPr>
          <w:lang w:val="fr-CA"/>
        </w:rPr>
        <w:t>Titres à inscrire</w:t>
      </w:r>
      <w:r w:rsidR="000B08F2" w:rsidRPr="0059083D">
        <w:rPr>
          <w:lang w:val="fr-CA"/>
        </w:rPr>
        <w:t xml:space="preserve"> </w:t>
      </w:r>
      <w:r w:rsidR="002A0F83" w:rsidRPr="0059083D">
        <w:rPr>
          <w:lang w:val="fr-CA"/>
        </w:rPr>
        <w:t>alors en circulation</w:t>
      </w:r>
      <w:r w:rsidR="000B08F2" w:rsidRPr="0059083D">
        <w:rPr>
          <w:lang w:val="fr-CA"/>
        </w:rPr>
        <w:t xml:space="preserve"> [(</w:t>
      </w:r>
      <w:r w:rsidR="00E043C9" w:rsidRPr="0059083D">
        <w:rPr>
          <w:lang w:val="fr-CA"/>
        </w:rPr>
        <w:t>ou un pourcentage inférieur si le prix d’offre total prévu</w:t>
      </w:r>
      <w:r w:rsidR="000B08F2" w:rsidRPr="0059083D">
        <w:rPr>
          <w:lang w:val="fr-CA"/>
        </w:rPr>
        <w:t xml:space="preserve">, </w:t>
      </w:r>
      <w:r w:rsidR="00E043C9" w:rsidRPr="0059083D">
        <w:rPr>
          <w:lang w:val="fr-CA"/>
        </w:rPr>
        <w:t xml:space="preserve">après déduction des </w:t>
      </w:r>
      <w:r w:rsidR="002A0F83" w:rsidRPr="0059083D">
        <w:rPr>
          <w:lang w:val="fr-CA"/>
        </w:rPr>
        <w:t>Frais de vente</w:t>
      </w:r>
      <w:r w:rsidR="000B08F2" w:rsidRPr="0059083D">
        <w:rPr>
          <w:lang w:val="fr-CA"/>
        </w:rPr>
        <w:t xml:space="preserve">, </w:t>
      </w:r>
      <w:r w:rsidR="00E043C9" w:rsidRPr="0059083D">
        <w:rPr>
          <w:lang w:val="fr-CA"/>
        </w:rPr>
        <w:t>dépasse [cinq</w:t>
      </w:r>
      <w:r w:rsidR="00887128">
        <w:rPr>
          <w:lang w:val="fr-CA"/>
        </w:rPr>
        <w:t xml:space="preserve"> -</w:t>
      </w:r>
      <w:r w:rsidR="00D314E0">
        <w:rPr>
          <w:lang w:val="fr-CA"/>
        </w:rPr>
        <w:t xml:space="preserve"> </w:t>
      </w:r>
      <w:r w:rsidR="00E043C9" w:rsidRPr="0059083D">
        <w:rPr>
          <w:lang w:val="fr-CA"/>
        </w:rPr>
        <w:t>quinze millions de dollars [canadiens / américains] (</w:t>
      </w:r>
      <w:r w:rsidR="00E043C9" w:rsidRPr="00986BEB">
        <w:rPr>
          <w:lang w:val="fr-CA"/>
        </w:rPr>
        <w:t>5</w:t>
      </w:r>
      <w:r w:rsidR="00D314E0">
        <w:rPr>
          <w:lang w:val="fr-CA"/>
        </w:rPr>
        <w:t xml:space="preserve"> </w:t>
      </w:r>
      <w:r w:rsidR="00887128">
        <w:rPr>
          <w:lang w:val="fr-CA"/>
        </w:rPr>
        <w:t>-</w:t>
      </w:r>
      <w:r w:rsidR="00D314E0">
        <w:rPr>
          <w:lang w:val="fr-CA"/>
        </w:rPr>
        <w:t xml:space="preserve"> </w:t>
      </w:r>
      <w:r w:rsidR="00E043C9" w:rsidRPr="00986BEB">
        <w:rPr>
          <w:lang w:val="fr-CA"/>
        </w:rPr>
        <w:t>15</w:t>
      </w:r>
      <w:r w:rsidR="00E043C9" w:rsidRPr="0059083D">
        <w:rPr>
          <w:lang w:val="fr-CA"/>
        </w:rPr>
        <w:t> M</w:t>
      </w:r>
      <w:r w:rsidR="008F0BC3">
        <w:rPr>
          <w:lang w:val="fr-CA"/>
        </w:rPr>
        <w:t xml:space="preserve">$ </w:t>
      </w:r>
      <w:r w:rsidR="00E043C9" w:rsidRPr="0059083D">
        <w:rPr>
          <w:lang w:val="fr-CA"/>
        </w:rPr>
        <w:t xml:space="preserve">[CA </w:t>
      </w:r>
      <w:r w:rsidR="000B08F2" w:rsidRPr="0059083D">
        <w:rPr>
          <w:lang w:val="fr-CA"/>
        </w:rPr>
        <w:t xml:space="preserve">/ US], </w:t>
      </w:r>
      <w:r w:rsidR="00D314E0">
        <w:rPr>
          <w:lang w:val="fr-CA"/>
        </w:rPr>
        <w:t xml:space="preserve">alors </w:t>
      </w:r>
      <w:r w:rsidR="000B08F2" w:rsidRPr="0059083D">
        <w:rPr>
          <w:lang w:val="fr-CA"/>
        </w:rPr>
        <w:t>la Société</w:t>
      </w:r>
      <w:r w:rsidR="00E043C9" w:rsidRPr="0059083D">
        <w:rPr>
          <w:lang w:val="fr-CA"/>
        </w:rPr>
        <w:t xml:space="preserve"> doit </w:t>
      </w:r>
      <w:r w:rsidR="000B08F2" w:rsidRPr="0059083D">
        <w:rPr>
          <w:lang w:val="fr-CA"/>
        </w:rPr>
        <w:t xml:space="preserve">: </w:t>
      </w:r>
      <w:bookmarkStart w:id="86" w:name="DocXTextRef45"/>
      <w:r w:rsidR="000B08F2" w:rsidRPr="0059083D">
        <w:rPr>
          <w:lang w:val="fr-CA"/>
        </w:rPr>
        <w:t>(</w:t>
      </w:r>
      <w:r w:rsidR="000B08F2" w:rsidRPr="00986BEB">
        <w:rPr>
          <w:lang w:val="fr-CA"/>
        </w:rPr>
        <w:t>x</w:t>
      </w:r>
      <w:r w:rsidR="000B08F2" w:rsidRPr="0059083D">
        <w:rPr>
          <w:lang w:val="fr-CA"/>
        </w:rPr>
        <w:t>)</w:t>
      </w:r>
      <w:bookmarkEnd w:id="86"/>
      <w:r w:rsidR="00E043C9" w:rsidRPr="0059083D">
        <w:rPr>
          <w:lang w:val="fr-CA"/>
        </w:rPr>
        <w:t> dans les dix </w:t>
      </w:r>
      <w:r w:rsidR="000B08F2" w:rsidRPr="0059083D">
        <w:rPr>
          <w:lang w:val="fr-CA"/>
        </w:rPr>
        <w:t>(</w:t>
      </w:r>
      <w:r w:rsidR="000B08F2" w:rsidRPr="00986BEB">
        <w:rPr>
          <w:lang w:val="fr-CA"/>
        </w:rPr>
        <w:t>10</w:t>
      </w:r>
      <w:r w:rsidR="000B08F2" w:rsidRPr="0059083D">
        <w:rPr>
          <w:lang w:val="fr-CA"/>
        </w:rPr>
        <w:t>)</w:t>
      </w:r>
      <w:r w:rsidR="00E043C9" w:rsidRPr="0059083D">
        <w:rPr>
          <w:lang w:val="fr-CA"/>
        </w:rPr>
        <w:t xml:space="preserve"> jours suivant la date </w:t>
      </w:r>
      <w:r w:rsidR="0038639B">
        <w:rPr>
          <w:lang w:val="fr-CA"/>
        </w:rPr>
        <w:t>à laquelle cette demande est présentée</w:t>
      </w:r>
      <w:r w:rsidR="000B08F2" w:rsidRPr="0059083D">
        <w:rPr>
          <w:lang w:val="fr-CA"/>
        </w:rPr>
        <w:t xml:space="preserve">, </w:t>
      </w:r>
      <w:r w:rsidR="00E043C9" w:rsidRPr="0059083D">
        <w:rPr>
          <w:lang w:val="fr-CA"/>
        </w:rPr>
        <w:t xml:space="preserve">donner un avis de la demande </w:t>
      </w:r>
      <w:r w:rsidR="000B08F2" w:rsidRPr="0059083D">
        <w:rPr>
          <w:lang w:val="fr-CA"/>
        </w:rPr>
        <w:t>(</w:t>
      </w:r>
      <w:r w:rsidR="00E043C9" w:rsidRPr="0059083D">
        <w:rPr>
          <w:lang w:val="fr-CA"/>
        </w:rPr>
        <w:t>l’« </w:t>
      </w:r>
      <w:r w:rsidR="00E043C9" w:rsidRPr="0059083D">
        <w:rPr>
          <w:b/>
          <w:lang w:val="fr-CA"/>
        </w:rPr>
        <w:t>Avis de demande</w:t>
      </w:r>
      <w:r w:rsidR="000B08F2" w:rsidRPr="0059083D">
        <w:rPr>
          <w:lang w:val="fr-CA"/>
        </w:rPr>
        <w:t xml:space="preserve"> ») </w:t>
      </w:r>
      <w:r w:rsidR="00E043C9" w:rsidRPr="0059083D">
        <w:rPr>
          <w:lang w:val="fr-CA"/>
        </w:rPr>
        <w:t>à tous les Porteurs</w:t>
      </w:r>
      <w:r w:rsidR="000B08F2" w:rsidRPr="0059083D">
        <w:rPr>
          <w:lang w:val="fr-CA"/>
        </w:rPr>
        <w:t xml:space="preserve"> </w:t>
      </w:r>
      <w:r w:rsidR="00E043C9" w:rsidRPr="0059083D">
        <w:rPr>
          <w:lang w:val="fr-CA"/>
        </w:rPr>
        <w:t>autres que les Porteurs demandeurs</w:t>
      </w:r>
      <w:r w:rsidR="000B08F2" w:rsidRPr="0059083D">
        <w:rPr>
          <w:lang w:val="fr-CA"/>
        </w:rPr>
        <w:t xml:space="preserve">; </w:t>
      </w:r>
      <w:r w:rsidR="00E043C9" w:rsidRPr="0059083D">
        <w:rPr>
          <w:lang w:val="fr-CA"/>
        </w:rPr>
        <w:t xml:space="preserve">et </w:t>
      </w:r>
      <w:bookmarkStart w:id="87" w:name="DocXTextRef46"/>
      <w:r w:rsidR="000B08F2" w:rsidRPr="0059083D">
        <w:rPr>
          <w:lang w:val="fr-CA"/>
        </w:rPr>
        <w:t>(</w:t>
      </w:r>
      <w:r w:rsidR="000B08F2" w:rsidRPr="00986BEB">
        <w:rPr>
          <w:lang w:val="fr-CA"/>
        </w:rPr>
        <w:t>y</w:t>
      </w:r>
      <w:r w:rsidR="000B08F2" w:rsidRPr="0059083D">
        <w:rPr>
          <w:lang w:val="fr-CA"/>
        </w:rPr>
        <w:t>)</w:t>
      </w:r>
      <w:bookmarkEnd w:id="87"/>
      <w:r w:rsidR="00E043C9" w:rsidRPr="0059083D">
        <w:rPr>
          <w:szCs w:val="16"/>
          <w:lang w:val="fr-CA"/>
        </w:rPr>
        <w:t> dans les meilleurs délais, et quoi qu’il en soit dans les soixante </w:t>
      </w:r>
      <w:r w:rsidR="000B08F2" w:rsidRPr="0059083D">
        <w:rPr>
          <w:szCs w:val="16"/>
          <w:lang w:val="fr-CA"/>
        </w:rPr>
        <w:t>(</w:t>
      </w:r>
      <w:r w:rsidR="000B08F2" w:rsidRPr="00986BEB">
        <w:rPr>
          <w:szCs w:val="16"/>
          <w:lang w:val="fr-CA"/>
        </w:rPr>
        <w:t>60</w:t>
      </w:r>
      <w:r w:rsidR="000B08F2" w:rsidRPr="0059083D">
        <w:rPr>
          <w:szCs w:val="16"/>
          <w:lang w:val="fr-CA"/>
        </w:rPr>
        <w:t>)</w:t>
      </w:r>
      <w:r w:rsidR="00E043C9" w:rsidRPr="0059083D">
        <w:rPr>
          <w:szCs w:val="16"/>
          <w:lang w:val="fr-CA"/>
        </w:rPr>
        <w:t xml:space="preserve"> jours suivant la date </w:t>
      </w:r>
      <w:r w:rsidR="0038639B">
        <w:rPr>
          <w:szCs w:val="16"/>
          <w:lang w:val="fr-CA"/>
        </w:rPr>
        <w:t xml:space="preserve">à laquelle </w:t>
      </w:r>
      <w:r w:rsidR="00E043C9" w:rsidRPr="0059083D">
        <w:rPr>
          <w:szCs w:val="16"/>
          <w:lang w:val="fr-CA"/>
        </w:rPr>
        <w:t xml:space="preserve">cette demande </w:t>
      </w:r>
      <w:r w:rsidR="0038639B">
        <w:rPr>
          <w:szCs w:val="16"/>
          <w:lang w:val="fr-CA"/>
        </w:rPr>
        <w:t xml:space="preserve">est présentée </w:t>
      </w:r>
      <w:r w:rsidR="00E043C9" w:rsidRPr="0059083D">
        <w:rPr>
          <w:szCs w:val="16"/>
          <w:lang w:val="fr-CA"/>
        </w:rPr>
        <w:t>par les Porteurs demandeurs</w:t>
      </w:r>
      <w:r w:rsidR="000B08F2" w:rsidRPr="0059083D">
        <w:rPr>
          <w:szCs w:val="16"/>
          <w:lang w:val="fr-CA"/>
        </w:rPr>
        <w:t xml:space="preserve">, </w:t>
      </w:r>
      <w:r w:rsidR="00E043C9" w:rsidRPr="0059083D">
        <w:rPr>
          <w:szCs w:val="16"/>
          <w:lang w:val="fr-CA"/>
        </w:rPr>
        <w:t xml:space="preserve">déposer </w:t>
      </w:r>
      <w:r w:rsidR="0016271C" w:rsidRPr="0059083D">
        <w:rPr>
          <w:szCs w:val="16"/>
          <w:lang w:val="fr-CA"/>
        </w:rPr>
        <w:t xml:space="preserve">une déclaration d’inscription sur </w:t>
      </w:r>
      <w:r w:rsidR="00F52467" w:rsidRPr="0059083D">
        <w:rPr>
          <w:szCs w:val="16"/>
          <w:lang w:val="fr-CA"/>
        </w:rPr>
        <w:t>Formulaire S-</w:t>
      </w:r>
      <w:r w:rsidR="00F52467" w:rsidRPr="00986BEB">
        <w:rPr>
          <w:szCs w:val="16"/>
          <w:lang w:val="fr-CA"/>
        </w:rPr>
        <w:t>1</w:t>
      </w:r>
      <w:r w:rsidR="000B08F2" w:rsidRPr="0059083D">
        <w:rPr>
          <w:szCs w:val="16"/>
          <w:lang w:val="fr-CA"/>
        </w:rPr>
        <w:t xml:space="preserve"> </w:t>
      </w:r>
      <w:r w:rsidR="00E043C9" w:rsidRPr="0059083D">
        <w:rPr>
          <w:szCs w:val="16"/>
          <w:lang w:val="fr-CA"/>
        </w:rPr>
        <w:t xml:space="preserve">ou </w:t>
      </w:r>
      <w:r w:rsidR="0016271C" w:rsidRPr="0059083D">
        <w:rPr>
          <w:szCs w:val="16"/>
          <w:lang w:val="fr-CA"/>
        </w:rPr>
        <w:t xml:space="preserve">sur </w:t>
      </w:r>
      <w:r w:rsidR="00F52467" w:rsidRPr="0059083D">
        <w:rPr>
          <w:szCs w:val="16"/>
          <w:lang w:val="fr-CA"/>
        </w:rPr>
        <w:t>Formulaire F-</w:t>
      </w:r>
      <w:r w:rsidR="00F52467" w:rsidRPr="00986BEB">
        <w:rPr>
          <w:szCs w:val="16"/>
          <w:lang w:val="fr-CA"/>
        </w:rPr>
        <w:t>1</w:t>
      </w:r>
      <w:r w:rsidR="000B08F2" w:rsidRPr="0059083D">
        <w:rPr>
          <w:szCs w:val="16"/>
          <w:lang w:val="fr-CA"/>
        </w:rPr>
        <w:t xml:space="preserve"> </w:t>
      </w:r>
      <w:r w:rsidR="00E043C9" w:rsidRPr="0059083D">
        <w:rPr>
          <w:szCs w:val="16"/>
          <w:lang w:val="fr-CA"/>
        </w:rPr>
        <w:t xml:space="preserve">en vertu de </w:t>
      </w:r>
      <w:r w:rsidR="00F52467" w:rsidRPr="0059083D">
        <w:rPr>
          <w:szCs w:val="16"/>
          <w:lang w:val="fr-CA"/>
        </w:rPr>
        <w:t xml:space="preserve">la Loi de </w:t>
      </w:r>
      <w:r w:rsidR="00F52467" w:rsidRPr="00986BEB">
        <w:rPr>
          <w:szCs w:val="16"/>
          <w:lang w:val="fr-CA"/>
        </w:rPr>
        <w:t>1933</w:t>
      </w:r>
      <w:r w:rsidR="000B08F2" w:rsidRPr="0059083D">
        <w:rPr>
          <w:szCs w:val="16"/>
          <w:lang w:val="fr-CA"/>
        </w:rPr>
        <w:t xml:space="preserve"> </w:t>
      </w:r>
      <w:r w:rsidR="00E043C9" w:rsidRPr="0059083D">
        <w:rPr>
          <w:szCs w:val="16"/>
          <w:lang w:val="fr-CA"/>
        </w:rPr>
        <w:t xml:space="preserve">ou un prospectus canadien en vertu des </w:t>
      </w:r>
      <w:r w:rsidR="0006561D" w:rsidRPr="0059083D">
        <w:rPr>
          <w:szCs w:val="16"/>
          <w:lang w:val="fr-CA"/>
        </w:rPr>
        <w:t>Lois sur les valeurs mobilières canadiennes</w:t>
      </w:r>
      <w:r w:rsidR="000B08F2" w:rsidRPr="0059083D">
        <w:rPr>
          <w:szCs w:val="16"/>
          <w:lang w:val="fr-CA"/>
        </w:rPr>
        <w:t xml:space="preserve">, </w:t>
      </w:r>
      <w:r w:rsidR="00E043C9" w:rsidRPr="0059083D">
        <w:rPr>
          <w:szCs w:val="16"/>
          <w:lang w:val="fr-CA"/>
        </w:rPr>
        <w:t xml:space="preserve">selon le cas, visant tous les </w:t>
      </w:r>
      <w:r w:rsidR="0006561D" w:rsidRPr="0059083D">
        <w:rPr>
          <w:szCs w:val="16"/>
          <w:lang w:val="fr-CA"/>
        </w:rPr>
        <w:t>Titres à inscrire</w:t>
      </w:r>
      <w:r w:rsidR="000B08F2" w:rsidRPr="0059083D">
        <w:rPr>
          <w:szCs w:val="16"/>
          <w:lang w:val="fr-CA"/>
        </w:rPr>
        <w:t xml:space="preserve"> </w:t>
      </w:r>
      <w:r w:rsidR="00E043C9" w:rsidRPr="0059083D">
        <w:rPr>
          <w:szCs w:val="16"/>
          <w:lang w:val="fr-CA"/>
        </w:rPr>
        <w:t>que les Porteurs demandeurs</w:t>
      </w:r>
      <w:r w:rsidR="000B08F2" w:rsidRPr="0059083D">
        <w:rPr>
          <w:szCs w:val="16"/>
          <w:lang w:val="fr-CA"/>
        </w:rPr>
        <w:t xml:space="preserve"> </w:t>
      </w:r>
      <w:r w:rsidR="00F95064">
        <w:rPr>
          <w:szCs w:val="16"/>
          <w:lang w:val="fr-CA"/>
        </w:rPr>
        <w:t xml:space="preserve">ont </w:t>
      </w:r>
      <w:r w:rsidR="00E043C9" w:rsidRPr="0059083D">
        <w:rPr>
          <w:szCs w:val="16"/>
          <w:lang w:val="fr-CA"/>
        </w:rPr>
        <w:t>demand</w:t>
      </w:r>
      <w:r w:rsidR="00F95064">
        <w:rPr>
          <w:szCs w:val="16"/>
          <w:lang w:val="fr-CA"/>
        </w:rPr>
        <w:t>é</w:t>
      </w:r>
      <w:r w:rsidR="00E043C9" w:rsidRPr="0059083D">
        <w:rPr>
          <w:szCs w:val="16"/>
          <w:lang w:val="fr-CA"/>
        </w:rPr>
        <w:t xml:space="preserve"> d’inscrire et tous les autres </w:t>
      </w:r>
      <w:r w:rsidR="0006561D" w:rsidRPr="0059083D">
        <w:rPr>
          <w:lang w:val="fr-CA"/>
        </w:rPr>
        <w:t>Titres à inscrire</w:t>
      </w:r>
      <w:r w:rsidR="000B08F2" w:rsidRPr="0059083D">
        <w:rPr>
          <w:lang w:val="fr-CA"/>
        </w:rPr>
        <w:t xml:space="preserve"> </w:t>
      </w:r>
      <w:r w:rsidR="00E043C9" w:rsidRPr="0059083D">
        <w:rPr>
          <w:lang w:val="fr-CA"/>
        </w:rPr>
        <w:t xml:space="preserve">que tout autre Porteur </w:t>
      </w:r>
      <w:r w:rsidR="00F95064">
        <w:rPr>
          <w:lang w:val="fr-CA"/>
        </w:rPr>
        <w:t xml:space="preserve">a demandé </w:t>
      </w:r>
      <w:r w:rsidR="00E043C9" w:rsidRPr="0059083D">
        <w:rPr>
          <w:lang w:val="fr-CA"/>
        </w:rPr>
        <w:t xml:space="preserve">d’inclure dans cette inscription en donnant un avis en ce sens à la Société dans les </w:t>
      </w:r>
      <w:r w:rsidR="000B08F2" w:rsidRPr="0059083D">
        <w:rPr>
          <w:lang w:val="fr-CA"/>
        </w:rPr>
        <w:t>[</w:t>
      </w:r>
      <w:r w:rsidR="00E043C9" w:rsidRPr="0059083D">
        <w:rPr>
          <w:lang w:val="fr-CA"/>
        </w:rPr>
        <w:t>vingt </w:t>
      </w:r>
      <w:r w:rsidR="000B08F2" w:rsidRPr="0059083D">
        <w:rPr>
          <w:lang w:val="fr-CA"/>
        </w:rPr>
        <w:t>(</w:t>
      </w:r>
      <w:r w:rsidR="000B08F2" w:rsidRPr="00986BEB">
        <w:rPr>
          <w:lang w:val="fr-CA"/>
        </w:rPr>
        <w:t>20</w:t>
      </w:r>
      <w:r w:rsidR="000B08F2" w:rsidRPr="0059083D">
        <w:rPr>
          <w:lang w:val="fr-CA"/>
        </w:rPr>
        <w:t>)]</w:t>
      </w:r>
      <w:r w:rsidR="00E043C9" w:rsidRPr="0059083D">
        <w:rPr>
          <w:lang w:val="fr-CA"/>
        </w:rPr>
        <w:t xml:space="preserve"> jours suivant la date </w:t>
      </w:r>
      <w:r w:rsidR="0038639B">
        <w:rPr>
          <w:lang w:val="fr-CA"/>
        </w:rPr>
        <w:t xml:space="preserve">à laquelle </w:t>
      </w:r>
      <w:r w:rsidR="00E043C9" w:rsidRPr="0059083D">
        <w:rPr>
          <w:lang w:val="fr-CA"/>
        </w:rPr>
        <w:t xml:space="preserve">l’Avis de demande </w:t>
      </w:r>
      <w:r w:rsidR="0038639B">
        <w:rPr>
          <w:lang w:val="fr-CA"/>
        </w:rPr>
        <w:t xml:space="preserve">est donné </w:t>
      </w:r>
      <w:r w:rsidR="00E043C9" w:rsidRPr="0059083D">
        <w:rPr>
          <w:lang w:val="fr-CA"/>
        </w:rPr>
        <w:t>et, dans chaque cas, sous réserve des restrictions prévues à l’</w:t>
      </w:r>
      <w:r w:rsidR="00E043C9"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_Ref448380551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2.1c)</w:t>
      </w:r>
      <w:r w:rsidR="000B08F2" w:rsidRPr="00986BEB">
        <w:rPr>
          <w:u w:val="single"/>
          <w:lang w:val="fr-CA"/>
        </w:rPr>
        <w:fldChar w:fldCharType="end"/>
      </w:r>
      <w:r w:rsidR="000B08F2" w:rsidRPr="0059083D">
        <w:rPr>
          <w:szCs w:val="16"/>
          <w:lang w:val="fr-CA"/>
        </w:rPr>
        <w:t xml:space="preserve"> </w:t>
      </w:r>
      <w:r w:rsidR="00E043C9" w:rsidRPr="0059083D">
        <w:rPr>
          <w:szCs w:val="16"/>
          <w:lang w:val="fr-CA"/>
        </w:rPr>
        <w:t xml:space="preserve">et au </w:t>
      </w:r>
      <w:r w:rsidR="00E043C9" w:rsidRPr="0059083D">
        <w:rPr>
          <w:szCs w:val="16"/>
          <w:u w:val="single"/>
          <w:lang w:val="fr-CA"/>
        </w:rPr>
        <w:t>paragraphe </w:t>
      </w:r>
      <w:r w:rsidR="000B08F2" w:rsidRPr="00986BEB">
        <w:rPr>
          <w:szCs w:val="16"/>
          <w:u w:val="single"/>
          <w:lang w:val="fr-CA"/>
        </w:rPr>
        <w:fldChar w:fldCharType="begin"/>
      </w:r>
      <w:r w:rsidR="000B08F2" w:rsidRPr="00986BEB">
        <w:rPr>
          <w:szCs w:val="16"/>
          <w:u w:val="single"/>
          <w:lang w:val="fr-CA"/>
        </w:rPr>
        <w:instrText xml:space="preserve">  REF _Ref448380555 \w \h \* MERGEFORMAT </w:instrText>
      </w:r>
      <w:r w:rsidR="000B08F2" w:rsidRPr="00986BEB">
        <w:rPr>
          <w:szCs w:val="16"/>
          <w:u w:val="single"/>
          <w:lang w:val="fr-CA"/>
        </w:rPr>
      </w:r>
      <w:r w:rsidR="000B08F2" w:rsidRPr="00986BEB">
        <w:rPr>
          <w:szCs w:val="16"/>
          <w:u w:val="single"/>
          <w:lang w:val="fr-CA"/>
        </w:rPr>
        <w:fldChar w:fldCharType="separate"/>
      </w:r>
      <w:r w:rsidR="00AE1D96" w:rsidRPr="00AE1D96">
        <w:rPr>
          <w:color w:val="000000"/>
          <w:szCs w:val="16"/>
          <w:u w:val="single"/>
          <w:lang w:val="fr-CA"/>
        </w:rPr>
        <w:t>2.3</w:t>
      </w:r>
      <w:r w:rsidR="000B08F2" w:rsidRPr="00986BEB">
        <w:rPr>
          <w:szCs w:val="16"/>
          <w:u w:val="single"/>
          <w:lang w:val="fr-CA"/>
        </w:rPr>
        <w:fldChar w:fldCharType="end"/>
      </w:r>
      <w:r w:rsidR="000B08F2" w:rsidRPr="0059083D">
        <w:rPr>
          <w:szCs w:val="16"/>
          <w:lang w:val="fr-CA"/>
        </w:rPr>
        <w:t>.</w:t>
      </w:r>
      <w:bookmarkEnd w:id="78"/>
    </w:p>
    <w:p w14:paraId="70117664" w14:textId="60CFF63B" w:rsidR="00037C7E" w:rsidRPr="00986BEB" w:rsidRDefault="0063067A" w:rsidP="0016271C">
      <w:pPr>
        <w:pStyle w:val="StandardL3"/>
        <w:rPr>
          <w:b/>
          <w:lang w:val="fr-CA"/>
        </w:rPr>
      </w:pPr>
      <w:bookmarkStart w:id="88" w:name="_Ref448380550"/>
      <w:r>
        <w:rPr>
          <w:szCs w:val="16"/>
          <w:u w:val="single"/>
          <w:lang w:val="fr-CA"/>
        </w:rPr>
        <w:t xml:space="preserve">Demande d’inscription </w:t>
      </w:r>
      <w:r w:rsidR="00EE2501">
        <w:rPr>
          <w:szCs w:val="16"/>
          <w:u w:val="single"/>
          <w:lang w:val="fr-CA"/>
        </w:rPr>
        <w:t xml:space="preserve">sur </w:t>
      </w:r>
      <w:r>
        <w:rPr>
          <w:szCs w:val="16"/>
          <w:u w:val="single"/>
          <w:lang w:val="fr-CA"/>
        </w:rPr>
        <w:t>Formulaire </w:t>
      </w:r>
      <w:r w:rsidR="00F52467" w:rsidRPr="009D4254">
        <w:rPr>
          <w:u w:val="single"/>
          <w:lang w:val="fr-CA"/>
        </w:rPr>
        <w:t>S-</w:t>
      </w:r>
      <w:r w:rsidR="00F52467" w:rsidRPr="00986BEB">
        <w:rPr>
          <w:u w:val="single"/>
          <w:lang w:val="fr-CA"/>
        </w:rPr>
        <w:t>3</w:t>
      </w:r>
      <w:r w:rsidR="000B08F2" w:rsidRPr="009D4254">
        <w:rPr>
          <w:u w:val="single"/>
          <w:lang w:val="fr-CA"/>
        </w:rPr>
        <w:t xml:space="preserve"> </w:t>
      </w:r>
      <w:r w:rsidR="00E043C9" w:rsidRPr="009D4254">
        <w:rPr>
          <w:u w:val="single"/>
          <w:lang w:val="fr-CA"/>
        </w:rPr>
        <w:t>ou</w:t>
      </w:r>
      <w:r w:rsidR="000B08F2" w:rsidRPr="009D4254">
        <w:rPr>
          <w:u w:val="single"/>
          <w:lang w:val="fr-CA"/>
        </w:rPr>
        <w:t xml:space="preserve"> F-</w:t>
      </w:r>
      <w:r w:rsidR="000B08F2" w:rsidRPr="00986BEB">
        <w:rPr>
          <w:u w:val="single"/>
          <w:lang w:val="fr-CA"/>
        </w:rPr>
        <w:t>3</w:t>
      </w:r>
      <w:r w:rsidR="006A7272" w:rsidRPr="009D4254">
        <w:rPr>
          <w:lang w:val="fr-CA"/>
        </w:rPr>
        <w:t>.</w:t>
      </w:r>
      <w:r w:rsidR="006A7272" w:rsidRPr="0059083D">
        <w:rPr>
          <w:lang w:val="fr-CA"/>
        </w:rPr>
        <w:t xml:space="preserve"> </w:t>
      </w:r>
      <w:r w:rsidR="0016271C" w:rsidRPr="0059083D">
        <w:rPr>
          <w:lang w:val="fr-CA"/>
        </w:rPr>
        <w:t xml:space="preserve">Si, à tout moment pendant que la Société est autorisée à utiliser une déclaration d’inscription sur </w:t>
      </w:r>
      <w:r w:rsidR="00F52467" w:rsidRPr="0059083D">
        <w:rPr>
          <w:lang w:val="fr-CA"/>
        </w:rPr>
        <w:t>Formulaire S-</w:t>
      </w:r>
      <w:r w:rsidR="00F52467" w:rsidRPr="00986BEB">
        <w:rPr>
          <w:lang w:val="fr-CA"/>
        </w:rPr>
        <w:t>3</w:t>
      </w:r>
      <w:r w:rsidR="006A7272" w:rsidRPr="0059083D">
        <w:rPr>
          <w:lang w:val="fr-CA"/>
        </w:rPr>
        <w:t xml:space="preserve"> </w:t>
      </w:r>
      <w:r w:rsidR="0016271C" w:rsidRPr="0059083D">
        <w:rPr>
          <w:lang w:val="fr-CA"/>
        </w:rPr>
        <w:t xml:space="preserve">ou sur </w:t>
      </w:r>
      <w:r w:rsidR="00F52467" w:rsidRPr="0059083D">
        <w:rPr>
          <w:lang w:val="fr-CA"/>
        </w:rPr>
        <w:t>Formulaire F-</w:t>
      </w:r>
      <w:r w:rsidR="00F52467" w:rsidRPr="00986BEB">
        <w:rPr>
          <w:lang w:val="fr-CA"/>
        </w:rPr>
        <w:t>3</w:t>
      </w:r>
      <w:r w:rsidR="0016271C" w:rsidRPr="0059083D">
        <w:rPr>
          <w:lang w:val="fr-CA"/>
        </w:rPr>
        <w:t xml:space="preserve"> ou un prospectus simplifié canadien</w:t>
      </w:r>
      <w:r w:rsidR="006A7272" w:rsidRPr="0059083D">
        <w:rPr>
          <w:lang w:val="fr-CA"/>
        </w:rPr>
        <w:t xml:space="preserve">, </w:t>
      </w:r>
      <w:r w:rsidR="0016271C" w:rsidRPr="0059083D">
        <w:rPr>
          <w:lang w:val="fr-CA"/>
        </w:rPr>
        <w:t xml:space="preserve">les </w:t>
      </w:r>
      <w:r w:rsidR="00E043C9" w:rsidRPr="0059083D">
        <w:rPr>
          <w:lang w:val="fr-CA"/>
        </w:rPr>
        <w:t>Porteurs</w:t>
      </w:r>
      <w:r w:rsidR="006A7272" w:rsidRPr="0059083D">
        <w:rPr>
          <w:lang w:val="fr-CA"/>
        </w:rPr>
        <w:t xml:space="preserve"> [</w:t>
      </w:r>
      <w:r w:rsidR="0016271C" w:rsidRPr="0059083D">
        <w:rPr>
          <w:lang w:val="fr-CA"/>
        </w:rPr>
        <w:t xml:space="preserve">d’au moins </w:t>
      </w:r>
      <w:r w:rsidR="006A7272" w:rsidRPr="0059083D">
        <w:rPr>
          <w:lang w:val="fr-CA"/>
        </w:rPr>
        <w:t>[</w:t>
      </w:r>
      <w:r w:rsidR="0016271C" w:rsidRPr="0059083D">
        <w:rPr>
          <w:lang w:val="fr-CA"/>
        </w:rPr>
        <w:t>dix</w:t>
      </w:r>
      <w:r w:rsidR="00AE785B">
        <w:rPr>
          <w:lang w:val="fr-CA"/>
        </w:rPr>
        <w:t xml:space="preserve"> / </w:t>
      </w:r>
      <w:r w:rsidR="0016271C" w:rsidRPr="0059083D">
        <w:rPr>
          <w:lang w:val="fr-CA"/>
        </w:rPr>
        <w:t>trente</w:t>
      </w:r>
      <w:r w:rsidR="006A7272" w:rsidRPr="0059083D">
        <w:rPr>
          <w:lang w:val="fr-CA"/>
        </w:rPr>
        <w:t>]</w:t>
      </w:r>
      <w:r w:rsidR="00AE785B">
        <w:rPr>
          <w:lang w:val="fr-CA"/>
        </w:rPr>
        <w:t xml:space="preserve"> </w:t>
      </w:r>
      <w:r w:rsidR="0016271C" w:rsidRPr="0059083D">
        <w:rPr>
          <w:lang w:val="fr-CA"/>
        </w:rPr>
        <w:t>pour</w:t>
      </w:r>
      <w:r w:rsidR="00AE785B">
        <w:rPr>
          <w:lang w:val="fr-CA"/>
        </w:rPr>
        <w:t xml:space="preserve"> </w:t>
      </w:r>
      <w:r w:rsidR="0016271C" w:rsidRPr="0059083D">
        <w:rPr>
          <w:lang w:val="fr-CA"/>
        </w:rPr>
        <w:t xml:space="preserve">cent </w:t>
      </w:r>
      <w:r w:rsidR="006A7272" w:rsidRPr="0059083D">
        <w:rPr>
          <w:lang w:val="fr-CA"/>
        </w:rPr>
        <w:t>([</w:t>
      </w:r>
      <w:r w:rsidR="006A7272" w:rsidRPr="00986BEB">
        <w:rPr>
          <w:lang w:val="fr-CA"/>
        </w:rPr>
        <w:t>10</w:t>
      </w:r>
      <w:r w:rsidR="00AE785B">
        <w:rPr>
          <w:lang w:val="fr-CA"/>
        </w:rPr>
        <w:t xml:space="preserve"> </w:t>
      </w:r>
      <w:r w:rsidR="00184638">
        <w:rPr>
          <w:lang w:val="fr-CA"/>
        </w:rPr>
        <w:t>-</w:t>
      </w:r>
      <w:r w:rsidR="00AE785B">
        <w:rPr>
          <w:lang w:val="fr-CA"/>
        </w:rPr>
        <w:t xml:space="preserve"> </w:t>
      </w:r>
      <w:r w:rsidR="006A7272" w:rsidRPr="00986BEB">
        <w:rPr>
          <w:lang w:val="fr-CA"/>
        </w:rPr>
        <w:t>30</w:t>
      </w:r>
      <w:r w:rsidR="006A7272" w:rsidRPr="0059083D">
        <w:rPr>
          <w:lang w:val="fr-CA"/>
        </w:rPr>
        <w:t>]</w:t>
      </w:r>
      <w:r w:rsidR="0016271C" w:rsidRPr="0059083D">
        <w:rPr>
          <w:lang w:val="fr-CA"/>
        </w:rPr>
        <w:t> </w:t>
      </w:r>
      <w:r w:rsidR="006A7272" w:rsidRPr="0059083D">
        <w:rPr>
          <w:lang w:val="fr-CA"/>
        </w:rPr>
        <w:t>%</w:t>
      </w:r>
      <w:r w:rsidR="000B08F2" w:rsidRPr="00986BEB">
        <w:rPr>
          <w:rStyle w:val="FootnoteReference"/>
          <w:lang w:val="fr-CA"/>
        </w:rPr>
        <w:footnoteReference w:id="17"/>
      </w:r>
      <w:r w:rsidR="00AE785B" w:rsidRPr="0059083D">
        <w:rPr>
          <w:lang w:val="fr-CA"/>
        </w:rPr>
        <w:t>)]</w:t>
      </w:r>
      <w:r w:rsidR="000B08F2" w:rsidRPr="0059083D">
        <w:rPr>
          <w:lang w:val="fr-CA"/>
        </w:rPr>
        <w:t xml:space="preserve"> des </w:t>
      </w:r>
      <w:r w:rsidR="0006561D" w:rsidRPr="0059083D">
        <w:rPr>
          <w:lang w:val="fr-CA"/>
        </w:rPr>
        <w:t>Titres à inscrire</w:t>
      </w:r>
      <w:r w:rsidR="000B08F2" w:rsidRPr="0059083D">
        <w:rPr>
          <w:lang w:val="fr-CA"/>
        </w:rPr>
        <w:t xml:space="preserve"> </w:t>
      </w:r>
      <w:r w:rsidR="002A0F83" w:rsidRPr="0059083D">
        <w:rPr>
          <w:lang w:val="fr-CA"/>
        </w:rPr>
        <w:t>alors en circulation</w:t>
      </w:r>
      <w:r w:rsidR="000B08F2" w:rsidRPr="0059083D">
        <w:rPr>
          <w:lang w:val="fr-CA"/>
        </w:rPr>
        <w:t xml:space="preserve"> </w:t>
      </w:r>
      <w:r w:rsidR="0016271C" w:rsidRPr="0059083D">
        <w:rPr>
          <w:lang w:val="fr-CA"/>
        </w:rPr>
        <w:t xml:space="preserve">demandent à </w:t>
      </w:r>
      <w:r w:rsidR="000B08F2" w:rsidRPr="0059083D">
        <w:rPr>
          <w:lang w:val="fr-CA"/>
        </w:rPr>
        <w:t xml:space="preserve">la Société </w:t>
      </w:r>
      <w:r w:rsidR="0016271C" w:rsidRPr="0059083D">
        <w:rPr>
          <w:lang w:val="fr-CA"/>
        </w:rPr>
        <w:t xml:space="preserve">de déposer une déclaration d’inscription sur </w:t>
      </w:r>
      <w:r w:rsidR="00F52467" w:rsidRPr="0059083D">
        <w:rPr>
          <w:lang w:val="fr-CA"/>
        </w:rPr>
        <w:t>Formulaire S</w:t>
      </w:r>
      <w:r w:rsidR="0016271C" w:rsidRPr="0059083D">
        <w:rPr>
          <w:lang w:val="fr-CA"/>
        </w:rPr>
        <w:noBreakHyphen/>
      </w:r>
      <w:r w:rsidR="00F52467" w:rsidRPr="00986BEB">
        <w:rPr>
          <w:lang w:val="fr-CA"/>
        </w:rPr>
        <w:t>3</w:t>
      </w:r>
      <w:r w:rsidR="000B08F2" w:rsidRPr="0059083D">
        <w:rPr>
          <w:lang w:val="fr-CA"/>
        </w:rPr>
        <w:t xml:space="preserve"> </w:t>
      </w:r>
      <w:r w:rsidR="0016271C" w:rsidRPr="0059083D">
        <w:rPr>
          <w:lang w:val="fr-CA"/>
        </w:rPr>
        <w:t xml:space="preserve">ou sur </w:t>
      </w:r>
      <w:r w:rsidR="00F52467" w:rsidRPr="0059083D">
        <w:rPr>
          <w:lang w:val="fr-CA"/>
        </w:rPr>
        <w:t>Formulaire F-</w:t>
      </w:r>
      <w:r w:rsidR="00F52467" w:rsidRPr="00986BEB">
        <w:rPr>
          <w:lang w:val="fr-CA"/>
        </w:rPr>
        <w:t>3</w:t>
      </w:r>
      <w:r w:rsidR="000B08F2" w:rsidRPr="0059083D">
        <w:rPr>
          <w:lang w:val="fr-CA"/>
        </w:rPr>
        <w:t xml:space="preserve"> </w:t>
      </w:r>
      <w:r w:rsidR="0016271C" w:rsidRPr="0059083D">
        <w:rPr>
          <w:lang w:val="fr-CA"/>
        </w:rPr>
        <w:t xml:space="preserve">ou un prospectus simplifié canadien visant des </w:t>
      </w:r>
      <w:r w:rsidR="0006561D" w:rsidRPr="0059083D">
        <w:rPr>
          <w:lang w:val="fr-CA"/>
        </w:rPr>
        <w:t>Titres à inscrire</w:t>
      </w:r>
      <w:r w:rsidR="000B08F2" w:rsidRPr="0059083D">
        <w:rPr>
          <w:lang w:val="fr-CA"/>
        </w:rPr>
        <w:t xml:space="preserve"> </w:t>
      </w:r>
      <w:r w:rsidR="0016271C" w:rsidRPr="0059083D">
        <w:rPr>
          <w:lang w:val="fr-CA"/>
        </w:rPr>
        <w:t xml:space="preserve">en circulation de ces </w:t>
      </w:r>
      <w:r w:rsidR="00E043C9" w:rsidRPr="0059083D">
        <w:rPr>
          <w:lang w:val="fr-CA"/>
        </w:rPr>
        <w:t>Porteurs</w:t>
      </w:r>
      <w:r w:rsidR="000B08F2" w:rsidRPr="0059083D">
        <w:rPr>
          <w:lang w:val="fr-CA"/>
        </w:rPr>
        <w:t xml:space="preserve"> </w:t>
      </w:r>
      <w:r w:rsidR="0016271C" w:rsidRPr="0059083D">
        <w:rPr>
          <w:lang w:val="fr-CA"/>
        </w:rPr>
        <w:t xml:space="preserve">dont le prix d’offre </w:t>
      </w:r>
      <w:r w:rsidR="00AE785B">
        <w:rPr>
          <w:lang w:val="fr-CA"/>
        </w:rPr>
        <w:t xml:space="preserve">total </w:t>
      </w:r>
      <w:r w:rsidR="0016271C" w:rsidRPr="0059083D">
        <w:rPr>
          <w:lang w:val="fr-CA"/>
        </w:rPr>
        <w:t>prévu</w:t>
      </w:r>
      <w:r w:rsidR="000B08F2" w:rsidRPr="0059083D">
        <w:rPr>
          <w:lang w:val="fr-CA"/>
        </w:rPr>
        <w:t xml:space="preserve">, </w:t>
      </w:r>
      <w:r w:rsidR="0016271C" w:rsidRPr="0059083D">
        <w:rPr>
          <w:lang w:val="fr-CA"/>
        </w:rPr>
        <w:t xml:space="preserve">après déduction des </w:t>
      </w:r>
      <w:r w:rsidR="002A0F83" w:rsidRPr="0059083D">
        <w:rPr>
          <w:lang w:val="fr-CA"/>
        </w:rPr>
        <w:t>Frais de vente</w:t>
      </w:r>
      <w:r w:rsidR="000B08F2" w:rsidRPr="0059083D">
        <w:rPr>
          <w:lang w:val="fr-CA"/>
        </w:rPr>
        <w:t xml:space="preserve">, </w:t>
      </w:r>
      <w:r w:rsidR="00AE785B">
        <w:rPr>
          <w:lang w:val="fr-CA"/>
        </w:rPr>
        <w:t xml:space="preserve">s’établit à </w:t>
      </w:r>
      <w:r w:rsidR="0016271C" w:rsidRPr="0059083D">
        <w:rPr>
          <w:lang w:val="fr-CA"/>
        </w:rPr>
        <w:t>au moins [trois</w:t>
      </w:r>
      <w:r w:rsidR="00AE785B">
        <w:rPr>
          <w:lang w:val="fr-CA"/>
        </w:rPr>
        <w:t xml:space="preserve"> </w:t>
      </w:r>
      <w:r w:rsidR="00184638">
        <w:rPr>
          <w:lang w:val="fr-CA"/>
        </w:rPr>
        <w:t>-</w:t>
      </w:r>
      <w:r w:rsidR="00AE785B">
        <w:rPr>
          <w:lang w:val="fr-CA"/>
        </w:rPr>
        <w:t xml:space="preserve"> </w:t>
      </w:r>
      <w:r w:rsidR="0016271C" w:rsidRPr="0059083D">
        <w:rPr>
          <w:lang w:val="fr-CA"/>
        </w:rPr>
        <w:t>cinq millions de dollars [canadiens</w:t>
      </w:r>
      <w:r w:rsidR="00EE2501">
        <w:rPr>
          <w:lang w:val="fr-CA"/>
        </w:rPr>
        <w:t> </w:t>
      </w:r>
      <w:r w:rsidR="0016271C" w:rsidRPr="0059083D">
        <w:rPr>
          <w:lang w:val="fr-CA"/>
        </w:rPr>
        <w:t>/</w:t>
      </w:r>
      <w:r w:rsidR="00AE785B">
        <w:rPr>
          <w:lang w:val="fr-CA"/>
        </w:rPr>
        <w:t xml:space="preserve"> </w:t>
      </w:r>
      <w:r w:rsidR="0016271C" w:rsidRPr="0059083D">
        <w:rPr>
          <w:lang w:val="fr-CA"/>
        </w:rPr>
        <w:t>américains] (</w:t>
      </w:r>
      <w:r w:rsidR="0016271C" w:rsidRPr="00986BEB">
        <w:rPr>
          <w:lang w:val="fr-CA"/>
        </w:rPr>
        <w:t>3</w:t>
      </w:r>
      <w:r w:rsidR="00AE785B">
        <w:rPr>
          <w:lang w:val="fr-CA"/>
        </w:rPr>
        <w:t xml:space="preserve"> </w:t>
      </w:r>
      <w:r w:rsidR="00184638">
        <w:rPr>
          <w:lang w:val="fr-CA"/>
        </w:rPr>
        <w:t>-</w:t>
      </w:r>
      <w:r w:rsidR="00AE785B">
        <w:rPr>
          <w:lang w:val="fr-CA"/>
        </w:rPr>
        <w:t xml:space="preserve"> </w:t>
      </w:r>
      <w:r w:rsidR="0016271C" w:rsidRPr="00986BEB">
        <w:rPr>
          <w:lang w:val="fr-CA"/>
        </w:rPr>
        <w:t>5</w:t>
      </w:r>
      <w:r w:rsidR="0016271C" w:rsidRPr="0059083D">
        <w:rPr>
          <w:lang w:val="fr-CA"/>
        </w:rPr>
        <w:t> M</w:t>
      </w:r>
      <w:r w:rsidR="00AE785B">
        <w:rPr>
          <w:lang w:val="fr-CA"/>
        </w:rPr>
        <w:t xml:space="preserve">$ </w:t>
      </w:r>
      <w:r w:rsidR="0016271C" w:rsidRPr="0059083D">
        <w:rPr>
          <w:lang w:val="fr-CA"/>
        </w:rPr>
        <w:t>[CA</w:t>
      </w:r>
      <w:r w:rsidR="008F0BC3">
        <w:rPr>
          <w:lang w:val="fr-CA"/>
        </w:rPr>
        <w:t xml:space="preserve"> </w:t>
      </w:r>
      <w:r w:rsidR="0016271C" w:rsidRPr="0059083D">
        <w:rPr>
          <w:lang w:val="fr-CA"/>
        </w:rPr>
        <w:t>/</w:t>
      </w:r>
      <w:r w:rsidR="00AE785B">
        <w:rPr>
          <w:lang w:val="fr-CA"/>
        </w:rPr>
        <w:t xml:space="preserve"> </w:t>
      </w:r>
      <w:r w:rsidR="0016271C" w:rsidRPr="0059083D">
        <w:rPr>
          <w:lang w:val="fr-CA"/>
        </w:rPr>
        <w:t>US]</w:t>
      </w:r>
      <w:r w:rsidR="000B08F2" w:rsidRPr="0059083D">
        <w:rPr>
          <w:lang w:val="fr-CA"/>
        </w:rPr>
        <w:t xml:space="preserve">, </w:t>
      </w:r>
      <w:r w:rsidR="008F0BC3">
        <w:rPr>
          <w:lang w:val="fr-CA"/>
        </w:rPr>
        <w:t xml:space="preserve">alors </w:t>
      </w:r>
      <w:r w:rsidR="0016271C" w:rsidRPr="0059083D">
        <w:rPr>
          <w:lang w:val="fr-CA"/>
        </w:rPr>
        <w:t xml:space="preserve">la </w:t>
      </w:r>
      <w:r w:rsidR="000B08F2" w:rsidRPr="0059083D">
        <w:rPr>
          <w:lang w:val="fr-CA"/>
        </w:rPr>
        <w:t xml:space="preserve">Société </w:t>
      </w:r>
      <w:r w:rsidR="0016271C" w:rsidRPr="0059083D">
        <w:rPr>
          <w:lang w:val="fr-CA"/>
        </w:rPr>
        <w:t xml:space="preserve">doit : </w:t>
      </w:r>
      <w:bookmarkStart w:id="89" w:name="DocXTextRef49"/>
      <w:r w:rsidR="000B08F2" w:rsidRPr="0059083D">
        <w:rPr>
          <w:lang w:val="fr-CA"/>
        </w:rPr>
        <w:t>(</w:t>
      </w:r>
      <w:r w:rsidR="000B08F2" w:rsidRPr="00986BEB">
        <w:rPr>
          <w:lang w:val="fr-CA"/>
        </w:rPr>
        <w:t>i</w:t>
      </w:r>
      <w:r w:rsidR="000B08F2" w:rsidRPr="0059083D">
        <w:rPr>
          <w:lang w:val="fr-CA"/>
        </w:rPr>
        <w:t>)</w:t>
      </w:r>
      <w:bookmarkEnd w:id="89"/>
      <w:r w:rsidR="0016271C" w:rsidRPr="0059083D">
        <w:rPr>
          <w:lang w:val="fr-CA"/>
        </w:rPr>
        <w:t> dans les dix </w:t>
      </w:r>
      <w:r w:rsidR="000B08F2" w:rsidRPr="0059083D">
        <w:rPr>
          <w:lang w:val="fr-CA"/>
        </w:rPr>
        <w:t>(</w:t>
      </w:r>
      <w:r w:rsidR="000B08F2" w:rsidRPr="00986BEB">
        <w:rPr>
          <w:lang w:val="fr-CA"/>
        </w:rPr>
        <w:t>10</w:t>
      </w:r>
      <w:r w:rsidR="000B08F2" w:rsidRPr="0059083D">
        <w:rPr>
          <w:lang w:val="fr-CA"/>
        </w:rPr>
        <w:t>)</w:t>
      </w:r>
      <w:r w:rsidR="0016271C" w:rsidRPr="0059083D">
        <w:rPr>
          <w:lang w:val="fr-CA"/>
        </w:rPr>
        <w:t xml:space="preserve"> jours suivant la date </w:t>
      </w:r>
      <w:r w:rsidR="008F0BC3">
        <w:rPr>
          <w:lang w:val="fr-CA"/>
        </w:rPr>
        <w:t xml:space="preserve">à laquelle </w:t>
      </w:r>
      <w:r w:rsidR="0016271C" w:rsidRPr="0059083D">
        <w:rPr>
          <w:lang w:val="fr-CA"/>
        </w:rPr>
        <w:t>cette demande</w:t>
      </w:r>
      <w:r w:rsidR="008F0BC3">
        <w:rPr>
          <w:lang w:val="fr-CA"/>
        </w:rPr>
        <w:t xml:space="preserve"> est présentée</w:t>
      </w:r>
      <w:r w:rsidR="0016271C" w:rsidRPr="0059083D">
        <w:rPr>
          <w:lang w:val="fr-CA"/>
        </w:rPr>
        <w:t xml:space="preserve">, donner un Avis de demande à tous les </w:t>
      </w:r>
      <w:r w:rsidR="00E043C9" w:rsidRPr="0059083D">
        <w:rPr>
          <w:lang w:val="fr-CA"/>
        </w:rPr>
        <w:t>Porteurs</w:t>
      </w:r>
      <w:r w:rsidR="000B08F2" w:rsidRPr="0059083D">
        <w:rPr>
          <w:lang w:val="fr-CA"/>
        </w:rPr>
        <w:t xml:space="preserve"> </w:t>
      </w:r>
      <w:r w:rsidR="0016271C" w:rsidRPr="0059083D">
        <w:rPr>
          <w:lang w:val="fr-CA"/>
        </w:rPr>
        <w:t xml:space="preserve">autres que les </w:t>
      </w:r>
      <w:r w:rsidR="00E043C9" w:rsidRPr="0059083D">
        <w:rPr>
          <w:lang w:val="fr-CA"/>
        </w:rPr>
        <w:t>Porteurs demandeurs</w:t>
      </w:r>
      <w:r w:rsidR="000B08F2" w:rsidRPr="0059083D">
        <w:rPr>
          <w:lang w:val="fr-CA"/>
        </w:rPr>
        <w:t xml:space="preserve">; </w:t>
      </w:r>
      <w:r w:rsidR="0016271C" w:rsidRPr="0059083D">
        <w:rPr>
          <w:lang w:val="fr-CA"/>
        </w:rPr>
        <w:t xml:space="preserve">et </w:t>
      </w:r>
      <w:bookmarkStart w:id="90" w:name="DocXTextRef50"/>
      <w:r w:rsidR="000B08F2" w:rsidRPr="0059083D">
        <w:rPr>
          <w:lang w:val="fr-CA"/>
        </w:rPr>
        <w:t>(</w:t>
      </w:r>
      <w:r w:rsidR="000B08F2" w:rsidRPr="00986BEB">
        <w:rPr>
          <w:lang w:val="fr-CA"/>
        </w:rPr>
        <w:t>ii</w:t>
      </w:r>
      <w:r w:rsidR="000B08F2" w:rsidRPr="0059083D">
        <w:rPr>
          <w:lang w:val="fr-CA"/>
        </w:rPr>
        <w:t>)</w:t>
      </w:r>
      <w:bookmarkEnd w:id="90"/>
      <w:r w:rsidR="0016271C" w:rsidRPr="0059083D">
        <w:rPr>
          <w:lang w:val="fr-CA"/>
        </w:rPr>
        <w:t xml:space="preserve"> dans les meilleurs délais, et quoi qu’il en soit dans les </w:t>
      </w:r>
      <w:r w:rsidR="000B08F2" w:rsidRPr="0059083D">
        <w:rPr>
          <w:lang w:val="fr-CA"/>
        </w:rPr>
        <w:t>[</w:t>
      </w:r>
      <w:r w:rsidR="0016271C" w:rsidRPr="0059083D">
        <w:rPr>
          <w:lang w:val="fr-CA"/>
        </w:rPr>
        <w:t>quarante</w:t>
      </w:r>
      <w:r w:rsidR="0016271C" w:rsidRPr="0059083D">
        <w:rPr>
          <w:lang w:val="fr-CA"/>
        </w:rPr>
        <w:noBreakHyphen/>
        <w:t>cinq </w:t>
      </w:r>
      <w:r w:rsidR="000B08F2" w:rsidRPr="0059083D">
        <w:rPr>
          <w:lang w:val="fr-CA"/>
        </w:rPr>
        <w:t>(</w:t>
      </w:r>
      <w:r w:rsidR="000B08F2" w:rsidRPr="00986BEB">
        <w:rPr>
          <w:lang w:val="fr-CA"/>
        </w:rPr>
        <w:t>45</w:t>
      </w:r>
      <w:r w:rsidR="000B08F2" w:rsidRPr="0059083D">
        <w:rPr>
          <w:lang w:val="fr-CA"/>
        </w:rPr>
        <w:t>)]</w:t>
      </w:r>
      <w:r w:rsidR="0016271C" w:rsidRPr="0059083D">
        <w:rPr>
          <w:lang w:val="fr-CA"/>
        </w:rPr>
        <w:t xml:space="preserve"> jours suivant la date </w:t>
      </w:r>
      <w:r w:rsidR="008F0BC3">
        <w:rPr>
          <w:lang w:val="fr-CA"/>
        </w:rPr>
        <w:t xml:space="preserve">à laquelle </w:t>
      </w:r>
      <w:r w:rsidR="0016271C" w:rsidRPr="0059083D">
        <w:rPr>
          <w:lang w:val="fr-CA"/>
        </w:rPr>
        <w:t xml:space="preserve">cette demande </w:t>
      </w:r>
      <w:r w:rsidR="008F0BC3">
        <w:rPr>
          <w:lang w:val="fr-CA"/>
        </w:rPr>
        <w:t xml:space="preserve">est présentée </w:t>
      </w:r>
      <w:r w:rsidR="0016271C" w:rsidRPr="0059083D">
        <w:rPr>
          <w:lang w:val="fr-CA"/>
        </w:rPr>
        <w:t xml:space="preserve">par les </w:t>
      </w:r>
      <w:r w:rsidR="00E043C9" w:rsidRPr="0059083D">
        <w:rPr>
          <w:lang w:val="fr-CA"/>
        </w:rPr>
        <w:t>Porteurs demandeurs</w:t>
      </w:r>
      <w:r w:rsidR="000B08F2" w:rsidRPr="0059083D">
        <w:rPr>
          <w:lang w:val="fr-CA"/>
        </w:rPr>
        <w:t xml:space="preserve">, </w:t>
      </w:r>
      <w:r w:rsidR="0016271C" w:rsidRPr="0059083D">
        <w:rPr>
          <w:lang w:val="fr-CA"/>
        </w:rPr>
        <w:t xml:space="preserve">déposer une déclaration d’inscription sur </w:t>
      </w:r>
      <w:r w:rsidR="00F52467" w:rsidRPr="0059083D">
        <w:rPr>
          <w:lang w:val="fr-CA"/>
        </w:rPr>
        <w:t>Formulaire S-</w:t>
      </w:r>
      <w:r w:rsidR="00F52467" w:rsidRPr="00986BEB">
        <w:rPr>
          <w:lang w:val="fr-CA"/>
        </w:rPr>
        <w:t>3</w:t>
      </w:r>
      <w:r w:rsidR="000B08F2" w:rsidRPr="0059083D">
        <w:rPr>
          <w:lang w:val="fr-CA"/>
        </w:rPr>
        <w:t xml:space="preserve"> </w:t>
      </w:r>
      <w:r w:rsidR="0016271C" w:rsidRPr="0059083D">
        <w:rPr>
          <w:lang w:val="fr-CA"/>
        </w:rPr>
        <w:t xml:space="preserve">ou sur </w:t>
      </w:r>
      <w:r w:rsidR="00F52467" w:rsidRPr="0059083D">
        <w:rPr>
          <w:lang w:val="fr-CA"/>
        </w:rPr>
        <w:t>Formulaire F-</w:t>
      </w:r>
      <w:r w:rsidR="00F52467" w:rsidRPr="00986BEB">
        <w:rPr>
          <w:lang w:val="fr-CA"/>
        </w:rPr>
        <w:t>3</w:t>
      </w:r>
      <w:r w:rsidR="0016271C" w:rsidRPr="0059083D">
        <w:rPr>
          <w:lang w:val="fr-CA"/>
        </w:rPr>
        <w:t xml:space="preserve"> 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0016271C" w:rsidRPr="0059083D">
        <w:rPr>
          <w:lang w:val="fr-CA"/>
        </w:rPr>
        <w:t xml:space="preserve">ou un prospectus simplifié canadien en vertu des </w:t>
      </w:r>
      <w:r w:rsidR="0006561D" w:rsidRPr="0059083D">
        <w:rPr>
          <w:lang w:val="fr-CA"/>
        </w:rPr>
        <w:t>Lois sur les valeurs mobilières canadiennes</w:t>
      </w:r>
      <w:r w:rsidR="000B08F2" w:rsidRPr="0059083D">
        <w:rPr>
          <w:lang w:val="fr-CA"/>
        </w:rPr>
        <w:t xml:space="preserve">, </w:t>
      </w:r>
      <w:r w:rsidR="0016271C" w:rsidRPr="0059083D">
        <w:rPr>
          <w:lang w:val="fr-CA"/>
        </w:rPr>
        <w:t xml:space="preserve">selon le cas, visant tous les </w:t>
      </w:r>
      <w:r w:rsidR="0006561D" w:rsidRPr="0059083D">
        <w:rPr>
          <w:lang w:val="fr-CA"/>
        </w:rPr>
        <w:t>Titres à inscrire</w:t>
      </w:r>
      <w:r w:rsidR="000B08F2" w:rsidRPr="0059083D">
        <w:rPr>
          <w:lang w:val="fr-CA"/>
        </w:rPr>
        <w:t xml:space="preserve"> </w:t>
      </w:r>
      <w:r w:rsidR="0016271C" w:rsidRPr="0059083D">
        <w:rPr>
          <w:lang w:val="fr-CA"/>
        </w:rPr>
        <w:t xml:space="preserve">que tout autre Porteur </w:t>
      </w:r>
      <w:r w:rsidR="008F0BC3">
        <w:rPr>
          <w:lang w:val="fr-CA"/>
        </w:rPr>
        <w:t xml:space="preserve">a demandé </w:t>
      </w:r>
      <w:r w:rsidR="0016271C" w:rsidRPr="0059083D">
        <w:rPr>
          <w:lang w:val="fr-CA"/>
        </w:rPr>
        <w:t xml:space="preserve">d’inclure dans cette inscription en donnant un avis en ce sens </w:t>
      </w:r>
      <w:r w:rsidR="008F0BC3">
        <w:rPr>
          <w:lang w:val="fr-CA"/>
        </w:rPr>
        <w:t xml:space="preserve">à la Société </w:t>
      </w:r>
      <w:r w:rsidR="0016271C" w:rsidRPr="0059083D">
        <w:rPr>
          <w:lang w:val="fr-CA"/>
        </w:rPr>
        <w:t xml:space="preserve">dans les </w:t>
      </w:r>
      <w:r w:rsidR="000B08F2" w:rsidRPr="0059083D">
        <w:rPr>
          <w:lang w:val="fr-CA"/>
        </w:rPr>
        <w:t>[</w:t>
      </w:r>
      <w:r w:rsidR="0016271C" w:rsidRPr="0059083D">
        <w:rPr>
          <w:lang w:val="fr-CA"/>
        </w:rPr>
        <w:t>vingt </w:t>
      </w:r>
      <w:r w:rsidR="000B08F2" w:rsidRPr="0059083D">
        <w:rPr>
          <w:lang w:val="fr-CA"/>
        </w:rPr>
        <w:t>(</w:t>
      </w:r>
      <w:r w:rsidR="000B08F2" w:rsidRPr="00986BEB">
        <w:rPr>
          <w:lang w:val="fr-CA"/>
        </w:rPr>
        <w:t>20</w:t>
      </w:r>
      <w:r w:rsidR="000B08F2" w:rsidRPr="0059083D">
        <w:rPr>
          <w:lang w:val="fr-CA"/>
        </w:rPr>
        <w:t>)]</w:t>
      </w:r>
      <w:r w:rsidR="0016271C" w:rsidRPr="0059083D">
        <w:rPr>
          <w:lang w:val="fr-CA"/>
        </w:rPr>
        <w:t xml:space="preserve"> jours suivant la date </w:t>
      </w:r>
      <w:r w:rsidR="000A69DC">
        <w:rPr>
          <w:lang w:val="fr-CA"/>
        </w:rPr>
        <w:t xml:space="preserve">à laquelle </w:t>
      </w:r>
      <w:r w:rsidR="0016271C" w:rsidRPr="0059083D">
        <w:rPr>
          <w:lang w:val="fr-CA"/>
        </w:rPr>
        <w:t xml:space="preserve">l’Avis de demande </w:t>
      </w:r>
      <w:r w:rsidR="000A69DC">
        <w:rPr>
          <w:lang w:val="fr-CA"/>
        </w:rPr>
        <w:t xml:space="preserve">est donné </w:t>
      </w:r>
      <w:r w:rsidR="0016271C" w:rsidRPr="0059083D">
        <w:rPr>
          <w:lang w:val="fr-CA"/>
        </w:rPr>
        <w:t>et, dans chaque cas, sous réserve des restrictions prévues à l’</w:t>
      </w:r>
      <w:r w:rsidR="0016271C"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_Ref448380551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2.1c)</w:t>
      </w:r>
      <w:r w:rsidR="000B08F2" w:rsidRPr="00986BEB">
        <w:rPr>
          <w:u w:val="single"/>
          <w:lang w:val="fr-CA"/>
        </w:rPr>
        <w:fldChar w:fldCharType="end"/>
      </w:r>
      <w:r w:rsidR="000B08F2" w:rsidRPr="0059083D">
        <w:rPr>
          <w:lang w:val="fr-CA"/>
        </w:rPr>
        <w:t xml:space="preserve"> </w:t>
      </w:r>
      <w:r w:rsidR="0016271C" w:rsidRPr="0059083D">
        <w:rPr>
          <w:lang w:val="fr-CA"/>
        </w:rPr>
        <w:t xml:space="preserve">et au </w:t>
      </w:r>
      <w:r w:rsidR="0016271C"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_Ref448380555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2.3</w:t>
      </w:r>
      <w:r w:rsidR="000B08F2" w:rsidRPr="00986BEB">
        <w:rPr>
          <w:u w:val="single"/>
          <w:lang w:val="fr-CA"/>
        </w:rPr>
        <w:fldChar w:fldCharType="end"/>
      </w:r>
      <w:r w:rsidR="000B08F2" w:rsidRPr="0059083D">
        <w:rPr>
          <w:lang w:val="fr-CA"/>
        </w:rPr>
        <w:t>.</w:t>
      </w:r>
      <w:bookmarkEnd w:id="88"/>
    </w:p>
    <w:p w14:paraId="68F7DFD9" w14:textId="2E5A38E1" w:rsidR="00037C7E" w:rsidRPr="00986BEB" w:rsidRDefault="0016271C" w:rsidP="0016271C">
      <w:pPr>
        <w:pStyle w:val="StandardL3"/>
        <w:rPr>
          <w:color w:val="000000"/>
          <w:szCs w:val="16"/>
          <w:lang w:val="fr-CA"/>
        </w:rPr>
      </w:pPr>
      <w:bookmarkStart w:id="91" w:name="_Ref448380551"/>
      <w:r w:rsidRPr="0059083D">
        <w:rPr>
          <w:lang w:val="fr-CA"/>
        </w:rPr>
        <w:t xml:space="preserve">Malgré les obligations énoncées précédemment, si </w:t>
      </w:r>
      <w:r w:rsidR="000B08F2" w:rsidRPr="0059083D">
        <w:rPr>
          <w:lang w:val="fr-CA"/>
        </w:rPr>
        <w:t xml:space="preserve">la Société </w:t>
      </w:r>
      <w:r w:rsidRPr="0059083D">
        <w:rPr>
          <w:lang w:val="fr-CA"/>
        </w:rPr>
        <w:t xml:space="preserve">fournit aux </w:t>
      </w:r>
      <w:r w:rsidR="00E043C9" w:rsidRPr="0059083D">
        <w:rPr>
          <w:lang w:val="fr-CA"/>
        </w:rPr>
        <w:t>Porteurs</w:t>
      </w:r>
      <w:r w:rsidR="000B08F2" w:rsidRPr="0059083D">
        <w:rPr>
          <w:lang w:val="fr-CA"/>
        </w:rPr>
        <w:t xml:space="preserve"> </w:t>
      </w:r>
      <w:r w:rsidRPr="0059083D">
        <w:rPr>
          <w:lang w:val="fr-CA"/>
        </w:rPr>
        <w:t xml:space="preserve">demandant une inscription conformément au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_Ref448380548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w:t>
      </w:r>
      <w:r w:rsidR="000B08F2" w:rsidRPr="00986BEB">
        <w:rPr>
          <w:u w:val="single"/>
          <w:lang w:val="fr-CA"/>
        </w:rPr>
        <w:fldChar w:fldCharType="end"/>
      </w:r>
      <w:r w:rsidR="000B08F2" w:rsidRPr="0059083D">
        <w:rPr>
          <w:lang w:val="fr-CA"/>
        </w:rPr>
        <w:t xml:space="preserve"> </w:t>
      </w:r>
      <w:r w:rsidRPr="0059083D">
        <w:rPr>
          <w:lang w:val="fr-CA"/>
        </w:rPr>
        <w:t>une attestation signée par son chef de la direction</w:t>
      </w:r>
      <w:r w:rsidR="00D85F3A">
        <w:rPr>
          <w:lang w:val="fr-CA"/>
        </w:rPr>
        <w:t xml:space="preserve"> selon laquelle </w:t>
      </w:r>
      <w:r w:rsidR="000B08F2" w:rsidRPr="0059083D">
        <w:rPr>
          <w:lang w:val="fr-CA"/>
        </w:rPr>
        <w:t xml:space="preserve">le Conseil d’administration </w:t>
      </w:r>
      <w:r w:rsidRPr="0059083D">
        <w:rPr>
          <w:lang w:val="fr-CA"/>
        </w:rPr>
        <w:t xml:space="preserve">juge de bonne foi qu’il serait gravement préjudiciable à </w:t>
      </w:r>
      <w:r w:rsidR="000B08F2" w:rsidRPr="0059083D">
        <w:rPr>
          <w:lang w:val="fr-CA"/>
        </w:rPr>
        <w:t xml:space="preserve">la Société </w:t>
      </w:r>
      <w:r w:rsidRPr="0059083D">
        <w:rPr>
          <w:lang w:val="fr-CA"/>
        </w:rPr>
        <w:t xml:space="preserve">et à ses actionnaires que </w:t>
      </w:r>
      <w:r w:rsidR="00A04A7C" w:rsidRPr="0059083D">
        <w:rPr>
          <w:lang w:val="fr-CA"/>
        </w:rPr>
        <w:t>la</w:t>
      </w:r>
      <w:r w:rsidRPr="0059083D">
        <w:rPr>
          <w:lang w:val="fr-CA"/>
        </w:rPr>
        <w:t xml:space="preserve"> </w:t>
      </w:r>
      <w:r w:rsidR="002A0F83" w:rsidRPr="0059083D">
        <w:rPr>
          <w:lang w:val="fr-CA"/>
        </w:rPr>
        <w:t>déclaration d’inscription</w:t>
      </w:r>
      <w:r w:rsidR="000B08F2" w:rsidRPr="0059083D">
        <w:rPr>
          <w:lang w:val="fr-CA"/>
        </w:rPr>
        <w:t xml:space="preserve"> </w:t>
      </w:r>
      <w:r w:rsidRPr="0059083D">
        <w:rPr>
          <w:lang w:val="fr-CA"/>
        </w:rPr>
        <w:t xml:space="preserve">entre en vigueur ou demeure en vigueur pendant </w:t>
      </w:r>
      <w:r w:rsidR="00A04A7C" w:rsidRPr="0059083D">
        <w:rPr>
          <w:lang w:val="fr-CA"/>
        </w:rPr>
        <w:t xml:space="preserve">toute la période au cours de laquelle elle </w:t>
      </w:r>
      <w:r w:rsidRPr="0059083D">
        <w:rPr>
          <w:lang w:val="fr-CA"/>
        </w:rPr>
        <w:t>devrait par ailleurs demeurer en vigueur</w:t>
      </w:r>
      <w:r w:rsidR="000B08F2" w:rsidRPr="0059083D">
        <w:rPr>
          <w:lang w:val="fr-CA"/>
        </w:rPr>
        <w:t xml:space="preserve">, </w:t>
      </w:r>
      <w:r w:rsidRPr="0059083D">
        <w:rPr>
          <w:lang w:val="fr-CA"/>
        </w:rPr>
        <w:t>parce qu</w:t>
      </w:r>
      <w:r w:rsidR="008D2C75">
        <w:rPr>
          <w:lang w:val="fr-CA"/>
        </w:rPr>
        <w:t xml:space="preserve">’une telle </w:t>
      </w:r>
      <w:r w:rsidR="001473EF">
        <w:rPr>
          <w:lang w:val="fr-CA"/>
        </w:rPr>
        <w:t>situation</w:t>
      </w:r>
      <w:r w:rsidRPr="0059083D">
        <w:rPr>
          <w:lang w:val="fr-CA"/>
        </w:rPr>
        <w:t xml:space="preserve"> </w:t>
      </w:r>
      <w:bookmarkStart w:id="92" w:name="DocXTextRef53"/>
      <w:r w:rsidR="000B08F2" w:rsidRPr="0059083D">
        <w:rPr>
          <w:lang w:val="fr-CA"/>
        </w:rPr>
        <w:t>(</w:t>
      </w:r>
      <w:r w:rsidR="000B08F2" w:rsidRPr="00986BEB">
        <w:rPr>
          <w:lang w:val="fr-CA"/>
        </w:rPr>
        <w:t>i</w:t>
      </w:r>
      <w:r w:rsidR="000B08F2" w:rsidRPr="0059083D">
        <w:rPr>
          <w:lang w:val="fr-CA"/>
        </w:rPr>
        <w:t>)</w:t>
      </w:r>
      <w:bookmarkEnd w:id="92"/>
      <w:r w:rsidRPr="0059083D">
        <w:rPr>
          <w:lang w:val="fr-CA"/>
        </w:rPr>
        <w:t xml:space="preserve"> nuirait gravement à une acquisition, à une réorganisation d’entreprise ou à une autre opération semblable </w:t>
      </w:r>
      <w:r w:rsidR="001473EF">
        <w:rPr>
          <w:lang w:val="fr-CA"/>
        </w:rPr>
        <w:t xml:space="preserve">importante </w:t>
      </w:r>
      <w:r w:rsidRPr="0059083D">
        <w:rPr>
          <w:lang w:val="fr-CA"/>
        </w:rPr>
        <w:t>visant la Société</w:t>
      </w:r>
      <w:r w:rsidR="000B08F2" w:rsidRPr="0059083D">
        <w:rPr>
          <w:lang w:val="fr-CA"/>
        </w:rPr>
        <w:t xml:space="preserve">; </w:t>
      </w:r>
      <w:bookmarkStart w:id="93" w:name="DocXTextRef54"/>
      <w:r w:rsidR="000B08F2" w:rsidRPr="0059083D">
        <w:rPr>
          <w:lang w:val="fr-CA"/>
        </w:rPr>
        <w:t>(</w:t>
      </w:r>
      <w:r w:rsidR="000B08F2" w:rsidRPr="00986BEB">
        <w:rPr>
          <w:lang w:val="fr-CA"/>
        </w:rPr>
        <w:t>ii</w:t>
      </w:r>
      <w:r w:rsidR="000B08F2" w:rsidRPr="0059083D">
        <w:rPr>
          <w:lang w:val="fr-CA"/>
        </w:rPr>
        <w:t>)</w:t>
      </w:r>
      <w:bookmarkEnd w:id="93"/>
      <w:r w:rsidRPr="0059083D">
        <w:rPr>
          <w:lang w:val="fr-CA"/>
        </w:rPr>
        <w:t xml:space="preserve"> nécessiterait la communication prématurée de renseignements importants que la Société </w:t>
      </w:r>
      <w:r w:rsidR="001473EF">
        <w:rPr>
          <w:lang w:val="fr-CA"/>
        </w:rPr>
        <w:t>souhaite</w:t>
      </w:r>
      <w:r w:rsidRPr="0059083D">
        <w:rPr>
          <w:lang w:val="fr-CA"/>
        </w:rPr>
        <w:t xml:space="preserve"> garder confidentiels pour des motifs commerciaux valables</w:t>
      </w:r>
      <w:r w:rsidR="000B08F2" w:rsidRPr="0059083D">
        <w:rPr>
          <w:lang w:val="fr-CA"/>
        </w:rPr>
        <w:t xml:space="preserve">; </w:t>
      </w:r>
      <w:bookmarkStart w:id="94" w:name="DocXTextRef55"/>
      <w:r w:rsidRPr="0059083D">
        <w:rPr>
          <w:lang w:val="fr-CA"/>
        </w:rPr>
        <w:t xml:space="preserve">ou </w:t>
      </w:r>
      <w:r w:rsidR="000B08F2" w:rsidRPr="0059083D">
        <w:rPr>
          <w:lang w:val="fr-CA"/>
        </w:rPr>
        <w:t>(</w:t>
      </w:r>
      <w:r w:rsidR="000B08F2" w:rsidRPr="00986BEB">
        <w:rPr>
          <w:lang w:val="fr-CA"/>
        </w:rPr>
        <w:t>iii</w:t>
      </w:r>
      <w:r w:rsidR="000B08F2" w:rsidRPr="0059083D">
        <w:rPr>
          <w:lang w:val="fr-CA"/>
        </w:rPr>
        <w:t>)</w:t>
      </w:r>
      <w:bookmarkEnd w:id="94"/>
      <w:r w:rsidRPr="0059083D">
        <w:rPr>
          <w:lang w:val="fr-CA"/>
        </w:rPr>
        <w:t> </w:t>
      </w:r>
      <w:r w:rsidR="00A04A7C" w:rsidRPr="0059083D">
        <w:rPr>
          <w:lang w:val="fr-CA"/>
        </w:rPr>
        <w:t>empêcherait la</w:t>
      </w:r>
      <w:r w:rsidRPr="0059083D">
        <w:rPr>
          <w:lang w:val="fr-CA"/>
        </w:rPr>
        <w:t xml:space="preserve"> </w:t>
      </w:r>
      <w:r w:rsidR="000B08F2" w:rsidRPr="0059083D">
        <w:rPr>
          <w:lang w:val="fr-CA"/>
        </w:rPr>
        <w:t xml:space="preserve">Société </w:t>
      </w:r>
      <w:r w:rsidRPr="0059083D">
        <w:rPr>
          <w:lang w:val="fr-CA"/>
        </w:rPr>
        <w:t xml:space="preserve">de respecter des exigences </w:t>
      </w:r>
      <w:r w:rsidR="001473EF">
        <w:rPr>
          <w:lang w:val="fr-CA"/>
        </w:rPr>
        <w:t>de</w:t>
      </w:r>
      <w:r w:rsidRPr="0059083D">
        <w:rPr>
          <w:lang w:val="fr-CA"/>
        </w:rPr>
        <w:t xml:space="preserve"> </w:t>
      </w:r>
      <w:r w:rsidR="00F52467" w:rsidRPr="0059083D">
        <w:rPr>
          <w:lang w:val="fr-CA"/>
        </w:rPr>
        <w:t xml:space="preserve">la Loi de </w:t>
      </w:r>
      <w:r w:rsidR="00F52467" w:rsidRPr="00986BEB">
        <w:rPr>
          <w:lang w:val="fr-CA"/>
        </w:rPr>
        <w:t>1933</w:t>
      </w:r>
      <w:r w:rsidR="000B08F2" w:rsidRPr="0059083D">
        <w:rPr>
          <w:lang w:val="fr-CA"/>
        </w:rPr>
        <w:t xml:space="preserve">, </w:t>
      </w:r>
      <w:r w:rsidR="001473EF">
        <w:rPr>
          <w:lang w:val="fr-CA"/>
        </w:rPr>
        <w:t xml:space="preserve">de </w:t>
      </w:r>
      <w:r w:rsidRPr="0059083D">
        <w:rPr>
          <w:lang w:val="fr-CA"/>
        </w:rPr>
        <w:t xml:space="preserve">la </w:t>
      </w:r>
      <w:r w:rsidR="00F52467" w:rsidRPr="0059083D">
        <w:rPr>
          <w:lang w:val="fr-CA"/>
        </w:rPr>
        <w:t xml:space="preserve">Loi de </w:t>
      </w:r>
      <w:r w:rsidR="00F52467" w:rsidRPr="00986BEB">
        <w:rPr>
          <w:lang w:val="fr-CA"/>
        </w:rPr>
        <w:t>1934</w:t>
      </w:r>
      <w:r w:rsidR="000B08F2" w:rsidRPr="0059083D">
        <w:rPr>
          <w:lang w:val="fr-CA"/>
        </w:rPr>
        <w:t xml:space="preserve"> </w:t>
      </w:r>
      <w:r w:rsidRPr="0059083D">
        <w:rPr>
          <w:lang w:val="fr-CA"/>
        </w:rPr>
        <w:t xml:space="preserve">ou </w:t>
      </w:r>
      <w:r w:rsidR="001473EF">
        <w:rPr>
          <w:lang w:val="fr-CA"/>
        </w:rPr>
        <w:t>d</w:t>
      </w:r>
      <w:r w:rsidRPr="0059083D">
        <w:rPr>
          <w:lang w:val="fr-CA"/>
        </w:rPr>
        <w:t xml:space="preserve">es </w:t>
      </w:r>
      <w:r w:rsidR="0006561D" w:rsidRPr="0059083D">
        <w:rPr>
          <w:lang w:val="fr-CA"/>
        </w:rPr>
        <w:t>Lois sur les valeurs mobilières canadiennes</w:t>
      </w:r>
      <w:bookmarkStart w:id="95" w:name="_Ref448380687"/>
      <w:r w:rsidR="000B08F2" w:rsidRPr="00986BEB">
        <w:rPr>
          <w:rStyle w:val="FootnoteReference"/>
          <w:lang w:val="fr-CA"/>
        </w:rPr>
        <w:footnoteReference w:id="18"/>
      </w:r>
      <w:bookmarkEnd w:id="95"/>
      <w:r w:rsidRPr="0059083D">
        <w:rPr>
          <w:lang w:val="fr-CA"/>
        </w:rPr>
        <w:t>,</w:t>
      </w:r>
      <w:r w:rsidR="000B08F2" w:rsidRPr="0059083D">
        <w:rPr>
          <w:lang w:val="fr-CA"/>
        </w:rPr>
        <w:t xml:space="preserve"> </w:t>
      </w:r>
      <w:r w:rsidRPr="0059083D">
        <w:rPr>
          <w:lang w:val="fr-CA"/>
        </w:rPr>
        <w:t xml:space="preserve">alors </w:t>
      </w:r>
      <w:r w:rsidR="000B08F2" w:rsidRPr="0059083D">
        <w:rPr>
          <w:lang w:val="fr-CA"/>
        </w:rPr>
        <w:t xml:space="preserve">la Société </w:t>
      </w:r>
      <w:r w:rsidRPr="0059083D">
        <w:rPr>
          <w:lang w:val="fr-CA"/>
        </w:rPr>
        <w:t>a le droit de reporter la prise de mesure</w:t>
      </w:r>
      <w:r w:rsidR="001473EF">
        <w:rPr>
          <w:lang w:val="fr-CA"/>
        </w:rPr>
        <w:t>s</w:t>
      </w:r>
      <w:r w:rsidRPr="0059083D">
        <w:rPr>
          <w:lang w:val="fr-CA"/>
        </w:rPr>
        <w:t xml:space="preserve"> </w:t>
      </w:r>
      <w:r w:rsidR="001473EF">
        <w:rPr>
          <w:lang w:val="fr-CA"/>
        </w:rPr>
        <w:t xml:space="preserve">à l’égard </w:t>
      </w:r>
      <w:r w:rsidR="008D2C75">
        <w:rPr>
          <w:lang w:val="fr-CA"/>
        </w:rPr>
        <w:t>du</w:t>
      </w:r>
      <w:r w:rsidRPr="0059083D">
        <w:rPr>
          <w:lang w:val="fr-CA"/>
        </w:rPr>
        <w:t xml:space="preserve"> dépôt</w:t>
      </w:r>
      <w:r w:rsidR="008D2C75">
        <w:rPr>
          <w:lang w:val="fr-CA"/>
        </w:rPr>
        <w:t xml:space="preserve"> de cette déclaration d’inscription</w:t>
      </w:r>
      <w:r w:rsidR="000B08F2" w:rsidRPr="0059083D">
        <w:rPr>
          <w:lang w:val="fr-CA"/>
        </w:rPr>
        <w:t xml:space="preserve">[, </w:t>
      </w:r>
      <w:r w:rsidRPr="0059083D">
        <w:rPr>
          <w:lang w:val="fr-CA"/>
        </w:rPr>
        <w:t>et tout</w:t>
      </w:r>
      <w:r w:rsidR="008D2C75">
        <w:rPr>
          <w:lang w:val="fr-CA"/>
        </w:rPr>
        <w:t xml:space="preserve"> délai </w:t>
      </w:r>
      <w:r w:rsidRPr="0059083D">
        <w:rPr>
          <w:lang w:val="fr-CA"/>
        </w:rPr>
        <w:t>applicable au dépôt ou à la validité de cette déclaration d’inscription est suspendu en conséquence</w:t>
      </w:r>
      <w:r w:rsidR="000B08F2" w:rsidRPr="0059083D">
        <w:rPr>
          <w:lang w:val="fr-CA"/>
        </w:rPr>
        <w:t>,] [</w:t>
      </w:r>
      <w:r w:rsidRPr="0059083D">
        <w:rPr>
          <w:lang w:val="fr-CA"/>
        </w:rPr>
        <w:t xml:space="preserve">pendant une période d’au plus </w:t>
      </w:r>
      <w:r w:rsidR="000B08F2" w:rsidRPr="0059083D">
        <w:rPr>
          <w:lang w:val="fr-CA"/>
        </w:rPr>
        <w:t>[</w:t>
      </w:r>
      <w:r w:rsidRPr="0059083D">
        <w:rPr>
          <w:lang w:val="fr-CA"/>
        </w:rPr>
        <w:t>trente</w:t>
      </w:r>
      <w:bookmarkStart w:id="96" w:name="DocXTextRef56"/>
      <w:r w:rsidRPr="0059083D">
        <w:rPr>
          <w:lang w:val="fr-CA"/>
        </w:rPr>
        <w:t> </w:t>
      </w:r>
      <w:r w:rsidR="000B08F2" w:rsidRPr="0059083D">
        <w:rPr>
          <w:lang w:val="fr-CA"/>
        </w:rPr>
        <w:t>(</w:t>
      </w:r>
      <w:r w:rsidR="000B08F2" w:rsidRPr="00986BEB">
        <w:rPr>
          <w:lang w:val="fr-CA"/>
        </w:rPr>
        <w:t>30</w:t>
      </w:r>
      <w:r w:rsidR="000B08F2" w:rsidRPr="0059083D">
        <w:rPr>
          <w:lang w:val="fr-CA"/>
        </w:rPr>
        <w:t>)</w:t>
      </w:r>
      <w:bookmarkEnd w:id="96"/>
      <w:r w:rsidR="008D2C75">
        <w:rPr>
          <w:lang w:val="fr-CA"/>
        </w:rPr>
        <w:t> </w:t>
      </w:r>
      <w:r w:rsidR="000449E0">
        <w:rPr>
          <w:lang w:val="fr-CA"/>
        </w:rPr>
        <w:t>-</w:t>
      </w:r>
      <w:r w:rsidR="001473EF">
        <w:rPr>
          <w:lang w:val="fr-CA"/>
        </w:rPr>
        <w:t xml:space="preserve"> </w:t>
      </w:r>
      <w:r w:rsidRPr="0059083D">
        <w:rPr>
          <w:lang w:val="fr-CA"/>
        </w:rPr>
        <w:t>cent vingt </w:t>
      </w:r>
      <w:r w:rsidR="000B08F2" w:rsidRPr="0059083D">
        <w:rPr>
          <w:lang w:val="fr-CA"/>
        </w:rPr>
        <w:t>(</w:t>
      </w:r>
      <w:r w:rsidR="000B08F2" w:rsidRPr="00986BEB">
        <w:rPr>
          <w:lang w:val="fr-CA"/>
        </w:rPr>
        <w:t>120</w:t>
      </w:r>
      <w:r w:rsidR="000B08F2" w:rsidRPr="0059083D">
        <w:rPr>
          <w:lang w:val="fr-CA"/>
        </w:rPr>
        <w:t>)]</w:t>
      </w:r>
      <w:r w:rsidRPr="0059083D">
        <w:rPr>
          <w:lang w:val="fr-CA"/>
        </w:rPr>
        <w:t xml:space="preserve"> jours après la demande des </w:t>
      </w:r>
      <w:r w:rsidR="00E043C9" w:rsidRPr="0059083D">
        <w:rPr>
          <w:lang w:val="fr-CA"/>
        </w:rPr>
        <w:t>Porteurs demandeurs</w:t>
      </w:r>
      <w:r w:rsidR="000B08F2" w:rsidRPr="0059083D">
        <w:rPr>
          <w:lang w:val="fr-CA"/>
        </w:rPr>
        <w:t xml:space="preserve">]; </w:t>
      </w:r>
      <w:r w:rsidR="00F57900" w:rsidRPr="0059083D">
        <w:rPr>
          <w:u w:val="single"/>
          <w:lang w:val="fr-CA"/>
        </w:rPr>
        <w:t>il est entendu</w:t>
      </w:r>
      <w:r w:rsidR="00F57900" w:rsidRPr="0059083D">
        <w:rPr>
          <w:lang w:val="fr-CA"/>
        </w:rPr>
        <w:t xml:space="preserve">, </w:t>
      </w:r>
      <w:r w:rsidRPr="0059083D">
        <w:rPr>
          <w:u w:val="single"/>
          <w:lang w:val="fr-CA"/>
        </w:rPr>
        <w:t>toutefois</w:t>
      </w:r>
      <w:r w:rsidRPr="0059083D">
        <w:rPr>
          <w:lang w:val="fr-CA"/>
        </w:rPr>
        <w:t xml:space="preserve">, que </w:t>
      </w:r>
      <w:r w:rsidR="000B08F2" w:rsidRPr="0059083D">
        <w:rPr>
          <w:lang w:val="fr-CA"/>
        </w:rPr>
        <w:t xml:space="preserve">la Société </w:t>
      </w:r>
      <w:r w:rsidRPr="0059083D">
        <w:rPr>
          <w:lang w:val="fr-CA"/>
        </w:rPr>
        <w:t xml:space="preserve">ne peut invoquer ce droit plus </w:t>
      </w:r>
      <w:r w:rsidR="000B08F2" w:rsidRPr="0059083D">
        <w:rPr>
          <w:lang w:val="fr-CA"/>
        </w:rPr>
        <w:t>[</w:t>
      </w:r>
      <w:r w:rsidRPr="0059083D">
        <w:rPr>
          <w:lang w:val="fr-CA"/>
        </w:rPr>
        <w:t>d’une fois</w:t>
      </w:r>
      <w:r w:rsidR="000B08F2" w:rsidRPr="0059083D">
        <w:rPr>
          <w:lang w:val="fr-CA"/>
        </w:rPr>
        <w:t xml:space="preserve">] </w:t>
      </w:r>
      <w:r w:rsidRPr="0059083D">
        <w:rPr>
          <w:lang w:val="fr-CA"/>
        </w:rPr>
        <w:t>au cours de toute période de douze </w:t>
      </w:r>
      <w:r w:rsidR="000B08F2" w:rsidRPr="0059083D">
        <w:rPr>
          <w:lang w:val="fr-CA"/>
        </w:rPr>
        <w:t>(</w:t>
      </w:r>
      <w:r w:rsidR="000B08F2" w:rsidRPr="00986BEB">
        <w:rPr>
          <w:lang w:val="fr-CA"/>
        </w:rPr>
        <w:t>12</w:t>
      </w:r>
      <w:r w:rsidR="000B08F2" w:rsidRPr="0059083D">
        <w:rPr>
          <w:lang w:val="fr-CA"/>
        </w:rPr>
        <w:t>)</w:t>
      </w:r>
      <w:r w:rsidRPr="0059083D">
        <w:rPr>
          <w:lang w:val="fr-CA"/>
        </w:rPr>
        <w:t> mois</w:t>
      </w:r>
      <w:bookmarkStart w:id="97" w:name="_Ref448380688"/>
      <w:r w:rsidR="000B08F2" w:rsidRPr="00986BEB">
        <w:rPr>
          <w:rStyle w:val="FootnoteReference"/>
          <w:lang w:val="fr-CA"/>
        </w:rPr>
        <w:footnoteReference w:id="19"/>
      </w:r>
      <w:bookmarkEnd w:id="97"/>
      <w:r w:rsidR="000B08F2" w:rsidRPr="0059083D">
        <w:rPr>
          <w:lang w:val="fr-CA"/>
        </w:rPr>
        <w:t xml:space="preserve">[; </w:t>
      </w:r>
      <w:r w:rsidRPr="0059083D">
        <w:rPr>
          <w:lang w:val="fr-CA"/>
        </w:rPr>
        <w:t xml:space="preserve">et </w:t>
      </w:r>
      <w:r w:rsidRPr="0059083D">
        <w:rPr>
          <w:u w:val="single"/>
          <w:lang w:val="fr-CA"/>
        </w:rPr>
        <w:t>il est entendu</w:t>
      </w:r>
      <w:r w:rsidR="00F57900" w:rsidRPr="0059083D">
        <w:rPr>
          <w:lang w:val="fr-CA"/>
        </w:rPr>
        <w:t xml:space="preserve">, </w:t>
      </w:r>
      <w:r w:rsidR="00F57900" w:rsidRPr="0059083D">
        <w:rPr>
          <w:u w:val="single"/>
          <w:lang w:val="fr-CA"/>
        </w:rPr>
        <w:t>en outre</w:t>
      </w:r>
      <w:r w:rsidR="00F57900" w:rsidRPr="0059083D">
        <w:rPr>
          <w:lang w:val="fr-CA"/>
        </w:rPr>
        <w:t>,</w:t>
      </w:r>
      <w:r w:rsidR="000B08F2" w:rsidRPr="0059083D">
        <w:rPr>
          <w:lang w:val="fr-CA"/>
        </w:rPr>
        <w:t xml:space="preserve"> </w:t>
      </w:r>
      <w:r w:rsidRPr="0059083D">
        <w:rPr>
          <w:lang w:val="fr-CA"/>
        </w:rPr>
        <w:t xml:space="preserve">que </w:t>
      </w:r>
      <w:r w:rsidR="000B08F2" w:rsidRPr="0059083D">
        <w:rPr>
          <w:lang w:val="fr-CA"/>
        </w:rPr>
        <w:t xml:space="preserve">la Société </w:t>
      </w:r>
      <w:r w:rsidRPr="0059083D">
        <w:rPr>
          <w:lang w:val="fr-CA"/>
        </w:rPr>
        <w:t>n</w:t>
      </w:r>
      <w:r w:rsidR="001F6EDB">
        <w:rPr>
          <w:lang w:val="fr-CA"/>
        </w:rPr>
        <w:t>’a pas le droit d’</w:t>
      </w:r>
      <w:r w:rsidRPr="0059083D">
        <w:rPr>
          <w:lang w:val="fr-CA"/>
        </w:rPr>
        <w:t>inscrire de</w:t>
      </w:r>
      <w:r w:rsidR="001F6EDB">
        <w:rPr>
          <w:lang w:val="fr-CA"/>
        </w:rPr>
        <w:t>s</w:t>
      </w:r>
      <w:r w:rsidRPr="0059083D">
        <w:rPr>
          <w:lang w:val="fr-CA"/>
        </w:rPr>
        <w:t xml:space="preserve"> titres pour son propre compte ou pour celui d’un autre actionnaire durant cette période de </w:t>
      </w:r>
      <w:r w:rsidR="000B08F2" w:rsidRPr="0059083D">
        <w:rPr>
          <w:lang w:val="fr-CA"/>
        </w:rPr>
        <w:t>[</w:t>
      </w:r>
      <w:r w:rsidRPr="0059083D">
        <w:rPr>
          <w:lang w:val="fr-CA"/>
        </w:rPr>
        <w:t>trente</w:t>
      </w:r>
      <w:bookmarkStart w:id="98" w:name="DocXTextRef57"/>
      <w:r w:rsidRPr="0059083D">
        <w:rPr>
          <w:lang w:val="fr-CA"/>
        </w:rPr>
        <w:t> </w:t>
      </w:r>
      <w:r w:rsidR="000B08F2" w:rsidRPr="0059083D">
        <w:rPr>
          <w:lang w:val="fr-CA"/>
        </w:rPr>
        <w:t>(</w:t>
      </w:r>
      <w:r w:rsidR="000B08F2" w:rsidRPr="00986BEB">
        <w:rPr>
          <w:lang w:val="fr-CA"/>
        </w:rPr>
        <w:t>30</w:t>
      </w:r>
      <w:r w:rsidR="000B08F2" w:rsidRPr="0059083D">
        <w:rPr>
          <w:lang w:val="fr-CA"/>
        </w:rPr>
        <w:t>)</w:t>
      </w:r>
      <w:bookmarkEnd w:id="98"/>
      <w:r w:rsidR="00E77BB1">
        <w:rPr>
          <w:lang w:val="fr-CA"/>
        </w:rPr>
        <w:t xml:space="preserve"> </w:t>
      </w:r>
      <w:r w:rsidR="000449E0">
        <w:rPr>
          <w:lang w:val="fr-CA"/>
        </w:rPr>
        <w:t>-</w:t>
      </w:r>
      <w:r w:rsidR="00E77BB1">
        <w:rPr>
          <w:szCs w:val="16"/>
          <w:lang w:val="fr-CA"/>
        </w:rPr>
        <w:t xml:space="preserve"> </w:t>
      </w:r>
      <w:r w:rsidRPr="0059083D">
        <w:rPr>
          <w:szCs w:val="16"/>
          <w:lang w:val="fr-CA"/>
        </w:rPr>
        <w:t>cent</w:t>
      </w:r>
      <w:r w:rsidR="000B08F2" w:rsidRPr="0059083D">
        <w:rPr>
          <w:szCs w:val="16"/>
          <w:lang w:val="fr-CA"/>
        </w:rPr>
        <w:t xml:space="preserve"> </w:t>
      </w:r>
      <w:r w:rsidRPr="0059083D">
        <w:rPr>
          <w:szCs w:val="16"/>
          <w:lang w:val="fr-CA"/>
        </w:rPr>
        <w:t>vingt </w:t>
      </w:r>
      <w:r w:rsidR="000B08F2" w:rsidRPr="0059083D">
        <w:rPr>
          <w:szCs w:val="16"/>
          <w:lang w:val="fr-CA"/>
        </w:rPr>
        <w:t>(</w:t>
      </w:r>
      <w:r w:rsidR="000B08F2" w:rsidRPr="00986BEB">
        <w:rPr>
          <w:szCs w:val="16"/>
          <w:lang w:val="fr-CA"/>
        </w:rPr>
        <w:t>120</w:t>
      </w:r>
      <w:r w:rsidR="000B08F2" w:rsidRPr="0059083D">
        <w:rPr>
          <w:szCs w:val="16"/>
          <w:lang w:val="fr-CA"/>
        </w:rPr>
        <w:t>)]</w:t>
      </w:r>
      <w:r w:rsidRPr="0059083D">
        <w:rPr>
          <w:szCs w:val="16"/>
          <w:lang w:val="fr-CA"/>
        </w:rPr>
        <w:t> jours</w:t>
      </w:r>
      <w:r w:rsidR="00E77BB1">
        <w:rPr>
          <w:szCs w:val="16"/>
          <w:lang w:val="fr-CA"/>
        </w:rPr>
        <w:t>,</w:t>
      </w:r>
      <w:r w:rsidRPr="0059083D">
        <w:rPr>
          <w:szCs w:val="16"/>
          <w:lang w:val="fr-CA"/>
        </w:rPr>
        <w:t xml:space="preserve"> sauf </w:t>
      </w:r>
      <w:r w:rsidR="000B08F2" w:rsidRPr="0059083D">
        <w:rPr>
          <w:szCs w:val="16"/>
          <w:lang w:val="fr-CA"/>
        </w:rPr>
        <w:t>[</w:t>
      </w:r>
      <w:r w:rsidRPr="0059083D">
        <w:rPr>
          <w:szCs w:val="16"/>
          <w:lang w:val="fr-CA"/>
        </w:rPr>
        <w:t xml:space="preserve">s’il s’agit d’une </w:t>
      </w:r>
      <w:r w:rsidR="00F52467" w:rsidRPr="0059083D">
        <w:rPr>
          <w:szCs w:val="16"/>
          <w:lang w:val="fr-CA"/>
        </w:rPr>
        <w:t>Inscription exclue</w:t>
      </w:r>
      <w:r w:rsidR="000B08F2" w:rsidRPr="0059083D">
        <w:rPr>
          <w:szCs w:val="16"/>
          <w:lang w:val="fr-CA"/>
        </w:rPr>
        <w:t>] [</w:t>
      </w:r>
      <w:r w:rsidRPr="0059083D">
        <w:rPr>
          <w:i/>
          <w:szCs w:val="16"/>
          <w:lang w:val="fr-CA"/>
        </w:rPr>
        <w:t>Variante </w:t>
      </w:r>
      <w:r w:rsidR="000B08F2" w:rsidRPr="0059083D">
        <w:rPr>
          <w:i/>
          <w:szCs w:val="16"/>
          <w:lang w:val="fr-CA"/>
        </w:rPr>
        <w:t>:</w:t>
      </w:r>
      <w:r w:rsidR="000B08F2" w:rsidRPr="0059083D">
        <w:rPr>
          <w:szCs w:val="16"/>
          <w:lang w:val="fr-CA"/>
        </w:rPr>
        <w:t xml:space="preserve"> </w:t>
      </w:r>
      <w:r w:rsidRPr="0059083D">
        <w:rPr>
          <w:szCs w:val="16"/>
          <w:lang w:val="fr-CA"/>
        </w:rPr>
        <w:t xml:space="preserve">dans le cadre d’une inscription relative à la vente de titres à des employés </w:t>
      </w:r>
      <w:r w:rsidR="000B08F2" w:rsidRPr="0059083D">
        <w:rPr>
          <w:szCs w:val="16"/>
          <w:lang w:val="fr-CA"/>
        </w:rPr>
        <w:t xml:space="preserve">de la Société </w:t>
      </w:r>
      <w:r w:rsidRPr="0059083D">
        <w:rPr>
          <w:szCs w:val="16"/>
          <w:lang w:val="fr-CA"/>
        </w:rPr>
        <w:t>ou d’une filiale aux termes d’un régime d’options d’achat d’actions, d’un régime d’achat d’actions ou d’un régime semblable</w:t>
      </w:r>
      <w:r w:rsidR="000B08F2" w:rsidRPr="0059083D">
        <w:rPr>
          <w:szCs w:val="16"/>
          <w:lang w:val="fr-CA"/>
        </w:rPr>
        <w:t xml:space="preserve">; </w:t>
      </w:r>
      <w:r w:rsidRPr="0059083D">
        <w:rPr>
          <w:szCs w:val="16"/>
          <w:lang w:val="fr-CA"/>
        </w:rPr>
        <w:t xml:space="preserve">d’une inscription sous toute forme </w:t>
      </w:r>
      <w:r w:rsidRPr="0059083D">
        <w:rPr>
          <w:lang w:val="fr-CA"/>
        </w:rPr>
        <w:t xml:space="preserve">qui ne contient pas essentiellement les mêmes renseignements que ceux qui </w:t>
      </w:r>
      <w:r w:rsidR="00E77BB1">
        <w:rPr>
          <w:lang w:val="fr-CA"/>
        </w:rPr>
        <w:t xml:space="preserve">devraient être inclus </w:t>
      </w:r>
      <w:r w:rsidRPr="0059083D">
        <w:rPr>
          <w:lang w:val="fr-CA"/>
        </w:rPr>
        <w:t xml:space="preserve">dans une déclaration d’inscription visant la vente des </w:t>
      </w:r>
      <w:r w:rsidR="0006561D" w:rsidRPr="0059083D">
        <w:rPr>
          <w:lang w:val="fr-CA"/>
        </w:rPr>
        <w:t>Titres à inscrire</w:t>
      </w:r>
      <w:r w:rsidRPr="0059083D">
        <w:rPr>
          <w:lang w:val="fr-CA"/>
        </w:rPr>
        <w:t>; ou d’une inscription aux termes de laquelle les seules Actions ordinaires inscrites sont des Actions ordinaires pouvant être émises à la conversion de titres de créance qui sont également inscrits</w:t>
      </w:r>
      <w:bookmarkStart w:id="99" w:name="_Ref448380689"/>
      <w:r w:rsidR="000B08F2" w:rsidRPr="00986BEB">
        <w:rPr>
          <w:rStyle w:val="FootnoteReference"/>
          <w:szCs w:val="16"/>
          <w:lang w:val="fr-CA"/>
        </w:rPr>
        <w:footnoteReference w:id="20"/>
      </w:r>
      <w:bookmarkEnd w:id="91"/>
      <w:bookmarkEnd w:id="99"/>
      <w:r w:rsidR="00E77BB1" w:rsidRPr="0059083D">
        <w:rPr>
          <w:szCs w:val="16"/>
          <w:lang w:val="fr-CA"/>
        </w:rPr>
        <w:t>]]</w:t>
      </w:r>
      <w:r w:rsidRPr="0059083D">
        <w:rPr>
          <w:szCs w:val="16"/>
          <w:lang w:val="fr-CA"/>
        </w:rPr>
        <w:t>.</w:t>
      </w:r>
    </w:p>
    <w:p w14:paraId="08537C0D" w14:textId="10D5297B" w:rsidR="00037C7E" w:rsidRPr="00986BEB" w:rsidRDefault="000B08F2">
      <w:pPr>
        <w:pStyle w:val="StandardL3"/>
        <w:rPr>
          <w:lang w:val="fr-CA"/>
        </w:rPr>
      </w:pPr>
      <w:bookmarkStart w:id="102" w:name="_Ref448380552"/>
      <w:r w:rsidRPr="00FB0486">
        <w:rPr>
          <w:lang w:val="fr-CA"/>
        </w:rPr>
        <w:t xml:space="preserve">La Société </w:t>
      </w:r>
      <w:r w:rsidR="0016271C" w:rsidRPr="00FB0486">
        <w:rPr>
          <w:lang w:val="fr-CA"/>
        </w:rPr>
        <w:t>n’est pas tenue d’effectuer une inscription conformément à l’</w:t>
      </w:r>
      <w:r w:rsidR="0016271C" w:rsidRPr="00FB0486">
        <w:rPr>
          <w:u w:val="single"/>
          <w:lang w:val="fr-CA"/>
        </w:rPr>
        <w:t>alinéa</w:t>
      </w:r>
      <w:bookmarkStart w:id="103" w:name="DocXTextRef60"/>
      <w:r w:rsidR="0016271C" w:rsidRPr="00FB0486">
        <w:rPr>
          <w:u w:val="single"/>
          <w:lang w:val="fr-CA"/>
        </w:rPr>
        <w:t> </w:t>
      </w:r>
      <w:bookmarkEnd w:id="103"/>
      <w:r w:rsidR="00FB0486" w:rsidRPr="00FB0486">
        <w:rPr>
          <w:u w:val="single"/>
          <w:lang w:val="fr-CA"/>
        </w:rPr>
        <w:t xml:space="preserve"> </w:t>
      </w:r>
      <w:r w:rsidR="00FB0486" w:rsidRPr="00FB0486">
        <w:rPr>
          <w:u w:val="single"/>
          <w:lang w:val="fr-CA"/>
        </w:rPr>
        <w:fldChar w:fldCharType="begin"/>
      </w:r>
      <w:r w:rsidR="00FB0486" w:rsidRPr="00FB0486">
        <w:rPr>
          <w:u w:val="single"/>
          <w:lang w:val="fr-CA"/>
        </w:rPr>
        <w:instrText xml:space="preserve"> REF _Ref448380549 \w \h </w:instrText>
      </w:r>
      <w:r w:rsidR="00FB0486">
        <w:rPr>
          <w:u w:val="single"/>
          <w:lang w:val="fr-CA"/>
        </w:rPr>
        <w:instrText xml:space="preserve"> \* MERGEFORMAT </w:instrText>
      </w:r>
      <w:r w:rsidR="00FB0486" w:rsidRPr="00FB0486">
        <w:rPr>
          <w:u w:val="single"/>
          <w:lang w:val="fr-CA"/>
        </w:rPr>
      </w:r>
      <w:r w:rsidR="00FB0486" w:rsidRPr="00FB0486">
        <w:rPr>
          <w:u w:val="single"/>
          <w:lang w:val="fr-CA"/>
        </w:rPr>
        <w:fldChar w:fldCharType="separate"/>
      </w:r>
      <w:r w:rsidR="00AE1D96">
        <w:rPr>
          <w:u w:val="single"/>
          <w:lang w:val="fr-CA"/>
        </w:rPr>
        <w:t>2.1a)</w:t>
      </w:r>
      <w:r w:rsidR="00FB0486" w:rsidRPr="00FB0486">
        <w:rPr>
          <w:u w:val="single"/>
          <w:lang w:val="fr-CA"/>
        </w:rPr>
        <w:fldChar w:fldCharType="end"/>
      </w:r>
      <w:r w:rsidR="00FB0486" w:rsidRPr="00FB0486">
        <w:rPr>
          <w:u w:val="single"/>
          <w:lang w:val="fr-CA"/>
        </w:rPr>
        <w:fldChar w:fldCharType="begin"/>
      </w:r>
      <w:r w:rsidR="00FB0486" w:rsidRPr="00FB0486">
        <w:rPr>
          <w:u w:val="single"/>
          <w:lang w:val="fr-CA"/>
        </w:rPr>
        <w:instrText xml:space="preserve"> REF a_i \h </w:instrText>
      </w:r>
      <w:r w:rsidR="00FB0486">
        <w:rPr>
          <w:u w:val="single"/>
          <w:lang w:val="fr-CA"/>
        </w:rPr>
        <w:instrText xml:space="preserve"> \* MERGEFORMAT </w:instrText>
      </w:r>
      <w:r w:rsidR="00FB0486" w:rsidRPr="00FB0486">
        <w:rPr>
          <w:u w:val="single"/>
          <w:lang w:val="fr-CA"/>
        </w:rPr>
      </w:r>
      <w:r w:rsidR="00FB0486" w:rsidRPr="00FB0486">
        <w:rPr>
          <w:u w:val="single"/>
          <w:lang w:val="fr-CA"/>
        </w:rPr>
        <w:fldChar w:fldCharType="separate"/>
      </w:r>
      <w:r w:rsidR="00AE1D96" w:rsidRPr="0059083D">
        <w:rPr>
          <w:lang w:val="fr-CA"/>
        </w:rPr>
        <w:t>(i)</w:t>
      </w:r>
      <w:r w:rsidR="00FB0486" w:rsidRPr="00FB0486">
        <w:rPr>
          <w:u w:val="single"/>
          <w:lang w:val="fr-CA"/>
        </w:rPr>
        <w:fldChar w:fldCharType="end"/>
      </w:r>
      <w:r w:rsidR="0016271C" w:rsidRPr="00FB0486">
        <w:rPr>
          <w:lang w:val="fr-CA"/>
        </w:rPr>
        <w:t xml:space="preserve"> ou</w:t>
      </w:r>
      <w:r w:rsidR="0016271C" w:rsidRPr="0059083D">
        <w:rPr>
          <w:lang w:val="fr-CA"/>
        </w:rPr>
        <w:t xml:space="preserve"> de prendre des mesures à cette fin :</w:t>
      </w:r>
      <w:r w:rsidRPr="0059083D">
        <w:rPr>
          <w:lang w:val="fr-CA"/>
        </w:rPr>
        <w:t xml:space="preserve"> </w:t>
      </w:r>
      <w:r w:rsidR="0016271C" w:rsidRPr="0059083D">
        <w:rPr>
          <w:lang w:val="fr-CA"/>
        </w:rPr>
        <w:t>(</w:t>
      </w:r>
      <w:r w:rsidR="0016271C" w:rsidRPr="00986BEB">
        <w:rPr>
          <w:lang w:val="fr-CA"/>
        </w:rPr>
        <w:t>i</w:t>
      </w:r>
      <w:r w:rsidR="0016271C" w:rsidRPr="0059083D">
        <w:rPr>
          <w:lang w:val="fr-CA"/>
        </w:rPr>
        <w:t xml:space="preserve">) au cours de la période commençant </w:t>
      </w:r>
      <w:r w:rsidRPr="0059083D">
        <w:rPr>
          <w:lang w:val="fr-CA"/>
        </w:rPr>
        <w:t>[</w:t>
      </w:r>
      <w:r w:rsidR="0016271C" w:rsidRPr="0059083D">
        <w:rPr>
          <w:lang w:val="fr-CA"/>
        </w:rPr>
        <w:t>soixante </w:t>
      </w:r>
      <w:r w:rsidRPr="0059083D">
        <w:rPr>
          <w:lang w:val="fr-CA"/>
        </w:rPr>
        <w:t>(</w:t>
      </w:r>
      <w:r w:rsidRPr="00986BEB">
        <w:rPr>
          <w:lang w:val="fr-CA"/>
        </w:rPr>
        <w:t>60</w:t>
      </w:r>
      <w:r w:rsidRPr="0059083D">
        <w:rPr>
          <w:lang w:val="fr-CA"/>
        </w:rPr>
        <w:t>)]</w:t>
      </w:r>
      <w:r w:rsidR="0016271C" w:rsidRPr="0059083D">
        <w:rPr>
          <w:lang w:val="fr-CA"/>
        </w:rPr>
        <w:t> jours avant la date de dépôt</w:t>
      </w:r>
      <w:r w:rsidR="00747068">
        <w:rPr>
          <w:lang w:val="fr-CA"/>
        </w:rPr>
        <w:t>,</w:t>
      </w:r>
      <w:r w:rsidR="0016271C" w:rsidRPr="0059083D">
        <w:rPr>
          <w:lang w:val="fr-CA"/>
        </w:rPr>
        <w:t xml:space="preserve"> estimée de bonne foi par la </w:t>
      </w:r>
      <w:r w:rsidRPr="0059083D">
        <w:rPr>
          <w:lang w:val="fr-CA"/>
        </w:rPr>
        <w:t>Société</w:t>
      </w:r>
      <w:r w:rsidR="00747068">
        <w:rPr>
          <w:lang w:val="fr-CA"/>
        </w:rPr>
        <w:t>,</w:t>
      </w:r>
      <w:r w:rsidR="0016271C" w:rsidRPr="0059083D">
        <w:rPr>
          <w:lang w:val="fr-CA"/>
        </w:rPr>
        <w:t xml:space="preserve"> d’une </w:t>
      </w:r>
      <w:r w:rsidR="00F80C28">
        <w:rPr>
          <w:lang w:val="fr-CA"/>
        </w:rPr>
        <w:t>déclaration d’</w:t>
      </w:r>
      <w:r w:rsidR="0016271C" w:rsidRPr="0059083D">
        <w:rPr>
          <w:lang w:val="fr-CA"/>
        </w:rPr>
        <w:t xml:space="preserve">inscription à l’initiative de la Société et se terminant à une date qui tombe </w:t>
      </w:r>
      <w:r w:rsidRPr="0059083D">
        <w:rPr>
          <w:lang w:val="fr-CA"/>
        </w:rPr>
        <w:t>[</w:t>
      </w:r>
      <w:r w:rsidR="0016271C" w:rsidRPr="0059083D">
        <w:rPr>
          <w:lang w:val="fr-CA"/>
        </w:rPr>
        <w:t>cent quatre-vingts </w:t>
      </w:r>
      <w:r w:rsidRPr="0059083D">
        <w:rPr>
          <w:lang w:val="fr-CA"/>
        </w:rPr>
        <w:t>(</w:t>
      </w:r>
      <w:r w:rsidRPr="00986BEB">
        <w:rPr>
          <w:lang w:val="fr-CA"/>
        </w:rPr>
        <w:t>180</w:t>
      </w:r>
      <w:r w:rsidRPr="0059083D">
        <w:rPr>
          <w:lang w:val="fr-CA"/>
        </w:rPr>
        <w:t>)]</w:t>
      </w:r>
      <w:r w:rsidR="0016271C" w:rsidRPr="0059083D">
        <w:rPr>
          <w:lang w:val="fr-CA"/>
        </w:rPr>
        <w:t xml:space="preserve"> jours après la date </w:t>
      </w:r>
      <w:r w:rsidR="00F80C28">
        <w:rPr>
          <w:lang w:val="fr-CA"/>
        </w:rPr>
        <w:t xml:space="preserve">d’entrée en vigueur de </w:t>
      </w:r>
      <w:r w:rsidR="0016271C" w:rsidRPr="0059083D">
        <w:rPr>
          <w:lang w:val="fr-CA"/>
        </w:rPr>
        <w:t xml:space="preserve">cette </w:t>
      </w:r>
      <w:r w:rsidR="00F80C28">
        <w:rPr>
          <w:lang w:val="fr-CA"/>
        </w:rPr>
        <w:t>déclaration d’</w:t>
      </w:r>
      <w:r w:rsidR="0016271C" w:rsidRPr="0059083D">
        <w:rPr>
          <w:lang w:val="fr-CA"/>
        </w:rPr>
        <w:t>inscription</w:t>
      </w:r>
      <w:r w:rsidRPr="0059083D">
        <w:rPr>
          <w:lang w:val="fr-CA"/>
        </w:rPr>
        <w:t xml:space="preserve">, </w:t>
      </w:r>
      <w:r w:rsidR="0016271C" w:rsidRPr="0059083D">
        <w:rPr>
          <w:u w:val="single"/>
          <w:lang w:val="fr-CA"/>
        </w:rPr>
        <w:t>à condition</w:t>
      </w:r>
      <w:r w:rsidRPr="0059083D">
        <w:rPr>
          <w:lang w:val="fr-CA"/>
        </w:rPr>
        <w:t xml:space="preserve"> </w:t>
      </w:r>
      <w:r w:rsidR="0016271C" w:rsidRPr="0059083D">
        <w:rPr>
          <w:lang w:val="fr-CA"/>
        </w:rPr>
        <w:t xml:space="preserve">que </w:t>
      </w:r>
      <w:r w:rsidRPr="0059083D">
        <w:rPr>
          <w:lang w:val="fr-CA"/>
        </w:rPr>
        <w:t xml:space="preserve">la Société </w:t>
      </w:r>
      <w:r w:rsidR="0016271C" w:rsidRPr="0059083D">
        <w:rPr>
          <w:lang w:val="fr-CA"/>
        </w:rPr>
        <w:t xml:space="preserve">déploie activement </w:t>
      </w:r>
      <w:r w:rsidR="00F80C28">
        <w:rPr>
          <w:lang w:val="fr-CA"/>
        </w:rPr>
        <w:t xml:space="preserve">de bonne foi </w:t>
      </w:r>
      <w:r w:rsidR="0016271C" w:rsidRPr="0059083D">
        <w:rPr>
          <w:lang w:val="fr-CA"/>
        </w:rPr>
        <w:t xml:space="preserve">des efforts raisonnables sur le plan commercial pour que cette </w:t>
      </w:r>
      <w:r w:rsidR="002A0F83" w:rsidRPr="0059083D">
        <w:rPr>
          <w:lang w:val="fr-CA"/>
        </w:rPr>
        <w:t>déclaration d’inscription</w:t>
      </w:r>
      <w:r w:rsidRPr="0059083D">
        <w:rPr>
          <w:lang w:val="fr-CA"/>
        </w:rPr>
        <w:t xml:space="preserve"> </w:t>
      </w:r>
      <w:r w:rsidR="0016271C" w:rsidRPr="0059083D">
        <w:rPr>
          <w:lang w:val="fr-CA"/>
        </w:rPr>
        <w:t>entre en vigueur</w:t>
      </w:r>
      <w:r w:rsidRPr="0059083D">
        <w:rPr>
          <w:lang w:val="fr-CA"/>
        </w:rPr>
        <w:t xml:space="preserve">; </w:t>
      </w:r>
      <w:bookmarkStart w:id="104" w:name="DocXTextRef68"/>
      <w:r w:rsidRPr="0059083D">
        <w:rPr>
          <w:lang w:val="fr-CA"/>
        </w:rPr>
        <w:t>(</w:t>
      </w:r>
      <w:r w:rsidRPr="00986BEB">
        <w:rPr>
          <w:lang w:val="fr-CA"/>
        </w:rPr>
        <w:t>ii</w:t>
      </w:r>
      <w:r w:rsidRPr="0059083D">
        <w:rPr>
          <w:lang w:val="fr-CA"/>
        </w:rPr>
        <w:t>)</w:t>
      </w:r>
      <w:bookmarkEnd w:id="104"/>
      <w:r w:rsidR="0016271C" w:rsidRPr="0059083D">
        <w:rPr>
          <w:lang w:val="fr-CA"/>
        </w:rPr>
        <w:t xml:space="preserve"> après </w:t>
      </w:r>
      <w:r w:rsidR="00F80C28">
        <w:rPr>
          <w:lang w:val="fr-CA"/>
        </w:rPr>
        <w:t>avoir</w:t>
      </w:r>
      <w:r w:rsidR="0016271C" w:rsidRPr="0059083D">
        <w:rPr>
          <w:lang w:val="fr-CA"/>
        </w:rPr>
        <w:t xml:space="preserve"> effectué </w:t>
      </w:r>
      <w:r w:rsidRPr="0059083D">
        <w:rPr>
          <w:lang w:val="fr-CA"/>
        </w:rPr>
        <w:t>[</w:t>
      </w:r>
      <w:r w:rsidR="0016271C" w:rsidRPr="0059083D">
        <w:rPr>
          <w:lang w:val="fr-CA"/>
        </w:rPr>
        <w:t>une </w:t>
      </w:r>
      <w:r w:rsidRPr="0059083D">
        <w:rPr>
          <w:lang w:val="fr-CA"/>
        </w:rPr>
        <w:t>(</w:t>
      </w:r>
      <w:r w:rsidRPr="00986BEB">
        <w:rPr>
          <w:lang w:val="fr-CA"/>
        </w:rPr>
        <w:t>1</w:t>
      </w:r>
      <w:r w:rsidRPr="0059083D">
        <w:rPr>
          <w:lang w:val="fr-CA"/>
        </w:rPr>
        <w:t>)</w:t>
      </w:r>
      <w:r w:rsidR="00747068">
        <w:rPr>
          <w:lang w:val="fr-CA"/>
        </w:rPr>
        <w:t xml:space="preserve"> /</w:t>
      </w:r>
      <w:r w:rsidRPr="0059083D">
        <w:rPr>
          <w:lang w:val="fr-CA"/>
        </w:rPr>
        <w:t xml:space="preserve"> </w:t>
      </w:r>
      <w:r w:rsidR="0016271C" w:rsidRPr="0059083D">
        <w:rPr>
          <w:lang w:val="fr-CA"/>
        </w:rPr>
        <w:t>deux </w:t>
      </w:r>
      <w:r w:rsidRPr="0059083D">
        <w:rPr>
          <w:lang w:val="fr-CA"/>
        </w:rPr>
        <w:t>(</w:t>
      </w:r>
      <w:r w:rsidRPr="00986BEB">
        <w:rPr>
          <w:lang w:val="fr-CA"/>
        </w:rPr>
        <w:t>2</w:t>
      </w:r>
      <w:r w:rsidRPr="0059083D">
        <w:rPr>
          <w:lang w:val="fr-CA"/>
        </w:rPr>
        <w:t>)]</w:t>
      </w:r>
      <w:r w:rsidR="0016271C" w:rsidRPr="0059083D">
        <w:rPr>
          <w:lang w:val="fr-CA"/>
        </w:rPr>
        <w:t> inscription</w:t>
      </w:r>
      <w:r w:rsidRPr="0059083D">
        <w:rPr>
          <w:lang w:val="fr-CA"/>
        </w:rPr>
        <w:t xml:space="preserve">[s] </w:t>
      </w:r>
      <w:r w:rsidR="0016271C" w:rsidRPr="0059083D">
        <w:rPr>
          <w:lang w:val="fr-CA"/>
        </w:rPr>
        <w:t>conformément à l’</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_Ref448380549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2.1a)</w:t>
      </w:r>
      <w:r w:rsidRPr="00986BEB">
        <w:rPr>
          <w:u w:val="single"/>
          <w:lang w:val="fr-CA"/>
        </w:rPr>
        <w:fldChar w:fldCharType="end"/>
      </w:r>
      <w:r w:rsidRPr="0059083D">
        <w:rPr>
          <w:lang w:val="fr-CA"/>
        </w:rPr>
        <w:t xml:space="preserve">; </w:t>
      </w:r>
      <w:r w:rsidR="0016271C" w:rsidRPr="0059083D">
        <w:rPr>
          <w:lang w:val="fr-CA"/>
        </w:rPr>
        <w:t>ou</w:t>
      </w:r>
      <w:r w:rsidRPr="0059083D">
        <w:rPr>
          <w:lang w:val="fr-CA"/>
        </w:rPr>
        <w:t xml:space="preserve"> </w:t>
      </w:r>
      <w:bookmarkStart w:id="105" w:name="DocXTextRef69"/>
      <w:r w:rsidRPr="0059083D">
        <w:rPr>
          <w:lang w:val="fr-CA"/>
        </w:rPr>
        <w:t>(</w:t>
      </w:r>
      <w:r w:rsidRPr="00986BEB">
        <w:rPr>
          <w:lang w:val="fr-CA"/>
        </w:rPr>
        <w:t>iii</w:t>
      </w:r>
      <w:r w:rsidRPr="0059083D">
        <w:rPr>
          <w:lang w:val="fr-CA"/>
        </w:rPr>
        <w:t>)</w:t>
      </w:r>
      <w:bookmarkEnd w:id="105"/>
      <w:r w:rsidR="0016271C" w:rsidRPr="0059083D">
        <w:rPr>
          <w:lang w:val="fr-CA"/>
        </w:rPr>
        <w:t> si le</w:t>
      </w:r>
      <w:r w:rsidR="00C641DA">
        <w:rPr>
          <w:lang w:val="fr-CA"/>
        </w:rPr>
        <w:t>s</w:t>
      </w:r>
      <w:r w:rsidR="0016271C" w:rsidRPr="0059083D">
        <w:rPr>
          <w:lang w:val="fr-CA"/>
        </w:rPr>
        <w:t xml:space="preserve"> </w:t>
      </w:r>
      <w:r w:rsidR="00E043C9" w:rsidRPr="0059083D">
        <w:rPr>
          <w:lang w:val="fr-CA"/>
        </w:rPr>
        <w:t>Porteurs demandeurs</w:t>
      </w:r>
      <w:r w:rsidRPr="0059083D">
        <w:rPr>
          <w:lang w:val="fr-CA"/>
        </w:rPr>
        <w:t xml:space="preserve"> </w:t>
      </w:r>
      <w:r w:rsidR="0016271C" w:rsidRPr="0059083D">
        <w:rPr>
          <w:lang w:val="fr-CA"/>
        </w:rPr>
        <w:t xml:space="preserve">proposent d’aliéner des </w:t>
      </w:r>
      <w:r w:rsidR="0006561D" w:rsidRPr="0059083D">
        <w:rPr>
          <w:lang w:val="fr-CA"/>
        </w:rPr>
        <w:t>Titres à inscrire</w:t>
      </w:r>
      <w:r w:rsidRPr="0059083D">
        <w:rPr>
          <w:lang w:val="fr-CA"/>
        </w:rPr>
        <w:t xml:space="preserve"> </w:t>
      </w:r>
      <w:r w:rsidR="0016271C" w:rsidRPr="0059083D">
        <w:rPr>
          <w:lang w:val="fr-CA"/>
        </w:rPr>
        <w:t xml:space="preserve">qui peuvent </w:t>
      </w:r>
      <w:r w:rsidR="00747068">
        <w:rPr>
          <w:lang w:val="fr-CA"/>
        </w:rPr>
        <w:t xml:space="preserve">faire l’objet d’une inscription immédiate sur </w:t>
      </w:r>
      <w:r w:rsidR="00F52467" w:rsidRPr="0059083D">
        <w:rPr>
          <w:lang w:val="fr-CA"/>
        </w:rPr>
        <w:t>Formulaire S-</w:t>
      </w:r>
      <w:r w:rsidR="00F52467" w:rsidRPr="00986BEB">
        <w:rPr>
          <w:lang w:val="fr-CA"/>
        </w:rPr>
        <w:t>3</w:t>
      </w:r>
      <w:r w:rsidRPr="0059083D">
        <w:rPr>
          <w:lang w:val="fr-CA"/>
        </w:rPr>
        <w:t xml:space="preserve"> </w:t>
      </w:r>
      <w:r w:rsidR="0016271C" w:rsidRPr="0059083D">
        <w:rPr>
          <w:lang w:val="fr-CA"/>
        </w:rPr>
        <w:t xml:space="preserve">ou </w:t>
      </w:r>
      <w:r w:rsidR="00747068">
        <w:rPr>
          <w:lang w:val="fr-CA"/>
        </w:rPr>
        <w:t xml:space="preserve">sur </w:t>
      </w:r>
      <w:r w:rsidR="00F52467" w:rsidRPr="0059083D">
        <w:rPr>
          <w:lang w:val="fr-CA"/>
        </w:rPr>
        <w:t>Formulaire F-</w:t>
      </w:r>
      <w:r w:rsidR="00F52467" w:rsidRPr="00986BEB">
        <w:rPr>
          <w:lang w:val="fr-CA"/>
        </w:rPr>
        <w:t>3</w:t>
      </w:r>
      <w:r w:rsidRPr="0059083D">
        <w:rPr>
          <w:lang w:val="fr-CA"/>
        </w:rPr>
        <w:t xml:space="preserve"> </w:t>
      </w:r>
      <w:r w:rsidR="0016271C" w:rsidRPr="0059083D">
        <w:rPr>
          <w:lang w:val="fr-CA"/>
        </w:rPr>
        <w:t xml:space="preserve">ou </w:t>
      </w:r>
      <w:r w:rsidR="00747068">
        <w:rPr>
          <w:lang w:val="fr-CA"/>
        </w:rPr>
        <w:t xml:space="preserve">au moyen </w:t>
      </w:r>
      <w:r w:rsidR="0016271C" w:rsidRPr="0059083D">
        <w:rPr>
          <w:lang w:val="fr-CA"/>
        </w:rPr>
        <w:t>d’un prospectus simplifié canadien aux termes d’une demande présentée conformément à l’</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_Ref448380550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2.1b)</w:t>
      </w:r>
      <w:r w:rsidRPr="00986BEB">
        <w:rPr>
          <w:u w:val="single"/>
          <w:lang w:val="fr-CA"/>
        </w:rPr>
        <w:fldChar w:fldCharType="end"/>
      </w:r>
      <w:r w:rsidRPr="0059083D">
        <w:rPr>
          <w:lang w:val="fr-CA"/>
        </w:rPr>
        <w:t xml:space="preserve">. La Société </w:t>
      </w:r>
      <w:r w:rsidR="0016271C" w:rsidRPr="0059083D">
        <w:rPr>
          <w:lang w:val="fr-CA"/>
        </w:rPr>
        <w:t>n’est pas tenue d’effectuer une inscription conformément à l’</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_Ref448380550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2.1b)</w:t>
      </w:r>
      <w:r w:rsidRPr="00986BEB">
        <w:rPr>
          <w:u w:val="single"/>
          <w:lang w:val="fr-CA"/>
        </w:rPr>
        <w:fldChar w:fldCharType="end"/>
      </w:r>
      <w:r w:rsidR="0016271C" w:rsidRPr="0059083D">
        <w:rPr>
          <w:lang w:val="fr-CA"/>
        </w:rPr>
        <w:t xml:space="preserve"> ou de prendre des mesures à cette fin :</w:t>
      </w:r>
      <w:r w:rsidRPr="0059083D">
        <w:rPr>
          <w:lang w:val="fr-CA"/>
        </w:rPr>
        <w:t xml:space="preserve"> </w:t>
      </w:r>
      <w:bookmarkStart w:id="106" w:name="DocXTextRef70"/>
      <w:r w:rsidRPr="0059083D">
        <w:rPr>
          <w:lang w:val="fr-CA"/>
        </w:rPr>
        <w:t>(</w:t>
      </w:r>
      <w:r w:rsidRPr="00986BEB">
        <w:rPr>
          <w:lang w:val="fr-CA"/>
        </w:rPr>
        <w:t>i</w:t>
      </w:r>
      <w:r w:rsidRPr="0059083D">
        <w:rPr>
          <w:lang w:val="fr-CA"/>
        </w:rPr>
        <w:t>)</w:t>
      </w:r>
      <w:bookmarkEnd w:id="106"/>
      <w:r w:rsidR="0016271C" w:rsidRPr="0059083D">
        <w:rPr>
          <w:lang w:val="fr-CA"/>
        </w:rPr>
        <w:t xml:space="preserve"> au cours de la période commençant </w:t>
      </w:r>
      <w:r w:rsidRPr="0059083D">
        <w:rPr>
          <w:lang w:val="fr-CA"/>
        </w:rPr>
        <w:t>[</w:t>
      </w:r>
      <w:r w:rsidR="0016271C" w:rsidRPr="0059083D">
        <w:rPr>
          <w:lang w:val="fr-CA"/>
        </w:rPr>
        <w:t>trente </w:t>
      </w:r>
      <w:r w:rsidRPr="0059083D">
        <w:rPr>
          <w:lang w:val="fr-CA"/>
        </w:rPr>
        <w:t>(</w:t>
      </w:r>
      <w:r w:rsidRPr="00986BEB">
        <w:rPr>
          <w:lang w:val="fr-CA"/>
        </w:rPr>
        <w:t>30</w:t>
      </w:r>
      <w:r w:rsidRPr="0059083D">
        <w:rPr>
          <w:lang w:val="fr-CA"/>
        </w:rPr>
        <w:t>)]</w:t>
      </w:r>
      <w:r w:rsidR="0016271C" w:rsidRPr="0059083D">
        <w:rPr>
          <w:lang w:val="fr-CA"/>
        </w:rPr>
        <w:t> jours avant la date de dépôt</w:t>
      </w:r>
      <w:r w:rsidR="00747068">
        <w:rPr>
          <w:lang w:val="fr-CA"/>
        </w:rPr>
        <w:t>,</w:t>
      </w:r>
      <w:r w:rsidR="0016271C" w:rsidRPr="0059083D">
        <w:rPr>
          <w:lang w:val="fr-CA"/>
        </w:rPr>
        <w:t xml:space="preserve"> estimée de bonne foi par la Société</w:t>
      </w:r>
      <w:r w:rsidR="00747068">
        <w:rPr>
          <w:lang w:val="fr-CA"/>
        </w:rPr>
        <w:t>,</w:t>
      </w:r>
      <w:r w:rsidR="0016271C" w:rsidRPr="0059083D">
        <w:rPr>
          <w:lang w:val="fr-CA"/>
        </w:rPr>
        <w:t xml:space="preserve"> d’une </w:t>
      </w:r>
      <w:r w:rsidR="00C641DA">
        <w:rPr>
          <w:lang w:val="fr-CA"/>
        </w:rPr>
        <w:t>déclaration d’</w:t>
      </w:r>
      <w:r w:rsidR="0016271C" w:rsidRPr="0059083D">
        <w:rPr>
          <w:lang w:val="fr-CA"/>
        </w:rPr>
        <w:t>inscription à l’initiative de la Société et se terminant à une date qui tombe [quatre</w:t>
      </w:r>
      <w:r w:rsidR="00C641DA">
        <w:rPr>
          <w:lang w:val="fr-CA"/>
        </w:rPr>
        <w:noBreakHyphen/>
      </w:r>
      <w:r w:rsidR="0016271C" w:rsidRPr="0059083D">
        <w:rPr>
          <w:lang w:val="fr-CA"/>
        </w:rPr>
        <w:t>vingt-dix (</w:t>
      </w:r>
      <w:r w:rsidR="0016271C" w:rsidRPr="00986BEB">
        <w:rPr>
          <w:lang w:val="fr-CA"/>
        </w:rPr>
        <w:t>90</w:t>
      </w:r>
      <w:r w:rsidR="0016271C" w:rsidRPr="0059083D">
        <w:rPr>
          <w:lang w:val="fr-CA"/>
        </w:rPr>
        <w:t xml:space="preserve">)] jours après la date </w:t>
      </w:r>
      <w:r w:rsidR="00C641DA">
        <w:rPr>
          <w:lang w:val="fr-CA"/>
        </w:rPr>
        <w:t>d’entrée en vigueur de cette déclaration d’</w:t>
      </w:r>
      <w:r w:rsidR="0016271C" w:rsidRPr="0059083D">
        <w:rPr>
          <w:lang w:val="fr-CA"/>
        </w:rPr>
        <w:t xml:space="preserve">inscription, </w:t>
      </w:r>
      <w:r w:rsidR="0016271C" w:rsidRPr="0059083D">
        <w:rPr>
          <w:u w:val="single"/>
          <w:lang w:val="fr-CA"/>
        </w:rPr>
        <w:t>à condition</w:t>
      </w:r>
      <w:r w:rsidR="0016271C" w:rsidRPr="0059083D">
        <w:rPr>
          <w:lang w:val="fr-CA"/>
        </w:rPr>
        <w:t xml:space="preserve"> que la Société déploie activement </w:t>
      </w:r>
      <w:r w:rsidR="00747068">
        <w:rPr>
          <w:lang w:val="fr-CA"/>
        </w:rPr>
        <w:t xml:space="preserve">de bonne foi </w:t>
      </w:r>
      <w:r w:rsidR="0016271C" w:rsidRPr="0059083D">
        <w:rPr>
          <w:lang w:val="fr-CA"/>
        </w:rPr>
        <w:t xml:space="preserve">des efforts raisonnables sur le plan commercial pour que cette déclaration d’inscription entre en vigueur; ou </w:t>
      </w:r>
      <w:bookmarkStart w:id="107" w:name="DocXTextRef71"/>
      <w:r w:rsidRPr="0059083D">
        <w:rPr>
          <w:lang w:val="fr-CA"/>
        </w:rPr>
        <w:t>(</w:t>
      </w:r>
      <w:r w:rsidRPr="00986BEB">
        <w:rPr>
          <w:lang w:val="fr-CA"/>
        </w:rPr>
        <w:t>ii</w:t>
      </w:r>
      <w:r w:rsidRPr="0059083D">
        <w:rPr>
          <w:lang w:val="fr-CA"/>
        </w:rPr>
        <w:t>)</w:t>
      </w:r>
      <w:bookmarkEnd w:id="107"/>
      <w:r w:rsidR="0016271C" w:rsidRPr="0059083D">
        <w:rPr>
          <w:lang w:val="fr-CA"/>
        </w:rPr>
        <w:t xml:space="preserve"> si </w:t>
      </w:r>
      <w:r w:rsidRPr="0059083D">
        <w:rPr>
          <w:lang w:val="fr-CA"/>
        </w:rPr>
        <w:t xml:space="preserve">la Société </w:t>
      </w:r>
      <w:r w:rsidR="0016271C" w:rsidRPr="0059083D">
        <w:rPr>
          <w:lang w:val="fr-CA"/>
        </w:rPr>
        <w:t xml:space="preserve">a effectué </w:t>
      </w:r>
      <w:r w:rsidRPr="0059083D">
        <w:rPr>
          <w:lang w:val="fr-CA"/>
        </w:rPr>
        <w:t>[</w:t>
      </w:r>
      <w:r w:rsidR="0016271C" w:rsidRPr="0059083D">
        <w:rPr>
          <w:lang w:val="fr-CA"/>
        </w:rPr>
        <w:t>deux </w:t>
      </w:r>
      <w:r w:rsidRPr="0059083D">
        <w:rPr>
          <w:lang w:val="fr-CA"/>
        </w:rPr>
        <w:t>(</w:t>
      </w:r>
      <w:r w:rsidRPr="00986BEB">
        <w:rPr>
          <w:lang w:val="fr-CA"/>
        </w:rPr>
        <w:t>2</w:t>
      </w:r>
      <w:r w:rsidRPr="0059083D">
        <w:rPr>
          <w:lang w:val="fr-CA"/>
        </w:rPr>
        <w:t>)]</w:t>
      </w:r>
      <w:r w:rsidR="0016271C" w:rsidRPr="0059083D">
        <w:rPr>
          <w:lang w:val="fr-CA"/>
        </w:rPr>
        <w:t> inscription[s] conformément à l’</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_Ref448380550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2.1b)</w:t>
      </w:r>
      <w:r w:rsidRPr="00986BEB">
        <w:rPr>
          <w:u w:val="single"/>
          <w:lang w:val="fr-CA"/>
        </w:rPr>
        <w:fldChar w:fldCharType="end"/>
      </w:r>
      <w:r w:rsidRPr="0059083D">
        <w:rPr>
          <w:lang w:val="fr-CA"/>
        </w:rPr>
        <w:t xml:space="preserve"> </w:t>
      </w:r>
      <w:r w:rsidR="0016271C" w:rsidRPr="0059083D">
        <w:rPr>
          <w:lang w:val="fr-CA"/>
        </w:rPr>
        <w:t>au cours de la période de douze </w:t>
      </w:r>
      <w:r w:rsidRPr="0059083D">
        <w:rPr>
          <w:lang w:val="fr-CA"/>
        </w:rPr>
        <w:t>(</w:t>
      </w:r>
      <w:r w:rsidRPr="00986BEB">
        <w:rPr>
          <w:lang w:val="fr-CA"/>
        </w:rPr>
        <w:t>12</w:t>
      </w:r>
      <w:r w:rsidRPr="0059083D">
        <w:rPr>
          <w:lang w:val="fr-CA"/>
        </w:rPr>
        <w:t>)</w:t>
      </w:r>
      <w:r w:rsidR="0016271C" w:rsidRPr="0059083D">
        <w:rPr>
          <w:lang w:val="fr-CA"/>
        </w:rPr>
        <w:t> mois précédant la date de cette demande</w:t>
      </w:r>
      <w:r w:rsidRPr="0059083D">
        <w:rPr>
          <w:lang w:val="fr-CA"/>
        </w:rPr>
        <w:t xml:space="preserve">. </w:t>
      </w:r>
      <w:r w:rsidR="0016271C" w:rsidRPr="0059083D">
        <w:rPr>
          <w:lang w:val="fr-CA"/>
        </w:rPr>
        <w:t>Une inscription n’est pas considéré</w:t>
      </w:r>
      <w:r w:rsidR="001D5D61">
        <w:rPr>
          <w:lang w:val="fr-CA"/>
        </w:rPr>
        <w:t>e</w:t>
      </w:r>
      <w:r w:rsidR="0016271C" w:rsidRPr="0059083D">
        <w:rPr>
          <w:lang w:val="fr-CA"/>
        </w:rPr>
        <w:t xml:space="preserve"> comme « effectuée » pour l’application du présent </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_Ref448380552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2.1d)</w:t>
      </w:r>
      <w:r w:rsidRPr="00986BEB">
        <w:rPr>
          <w:u w:val="single"/>
          <w:lang w:val="fr-CA"/>
        </w:rPr>
        <w:fldChar w:fldCharType="end"/>
      </w:r>
      <w:r w:rsidRPr="0059083D">
        <w:rPr>
          <w:lang w:val="fr-CA"/>
        </w:rPr>
        <w:t xml:space="preserve"> </w:t>
      </w:r>
      <w:r w:rsidR="0016271C" w:rsidRPr="0059083D">
        <w:rPr>
          <w:lang w:val="fr-CA"/>
        </w:rPr>
        <w:t xml:space="preserve">tant que la </w:t>
      </w:r>
      <w:r w:rsidR="002A0F83" w:rsidRPr="0059083D">
        <w:rPr>
          <w:lang w:val="fr-CA"/>
        </w:rPr>
        <w:t>déclaration d’inscription</w:t>
      </w:r>
      <w:r w:rsidRPr="0059083D">
        <w:rPr>
          <w:lang w:val="fr-CA"/>
        </w:rPr>
        <w:t xml:space="preserve"> </w:t>
      </w:r>
      <w:r w:rsidR="0016271C" w:rsidRPr="0059083D">
        <w:rPr>
          <w:lang w:val="fr-CA"/>
        </w:rPr>
        <w:t xml:space="preserve">applicable n’a pas été déclarée en vigueur par la </w:t>
      </w:r>
      <w:r w:rsidRPr="0059083D">
        <w:rPr>
          <w:lang w:val="fr-CA"/>
        </w:rPr>
        <w:t xml:space="preserve">SEC </w:t>
      </w:r>
      <w:r w:rsidR="0016271C" w:rsidRPr="0059083D">
        <w:rPr>
          <w:lang w:val="fr-CA"/>
        </w:rPr>
        <w:t>ou qu’un visa définitif ou un document de décision n’a pas été délivré à l’égard du prospectus canadien applicable</w:t>
      </w:r>
      <w:r w:rsidRPr="0059083D">
        <w:rPr>
          <w:lang w:val="fr-CA"/>
        </w:rPr>
        <w:t xml:space="preserve">, </w:t>
      </w:r>
      <w:r w:rsidR="008C0832">
        <w:rPr>
          <w:lang w:val="fr-CA"/>
        </w:rPr>
        <w:t>sauf si</w:t>
      </w:r>
      <w:r w:rsidR="0016271C" w:rsidRPr="0059083D">
        <w:rPr>
          <w:lang w:val="fr-CA"/>
        </w:rPr>
        <w:t xml:space="preserve"> les </w:t>
      </w:r>
      <w:r w:rsidR="00E043C9" w:rsidRPr="0059083D">
        <w:rPr>
          <w:lang w:val="fr-CA"/>
        </w:rPr>
        <w:t>Porteurs demandeurs</w:t>
      </w:r>
      <w:r w:rsidRPr="0059083D">
        <w:rPr>
          <w:lang w:val="fr-CA"/>
        </w:rPr>
        <w:t xml:space="preserve"> </w:t>
      </w:r>
      <w:r w:rsidR="0016271C" w:rsidRPr="0059083D">
        <w:rPr>
          <w:lang w:val="fr-CA"/>
        </w:rPr>
        <w:t xml:space="preserve">retirent leur demande d’inscription, décident de ne pas payer les frais d’inscription s’y rapportant et renoncent à leur droit à une </w:t>
      </w:r>
      <w:r w:rsidR="002A0F83" w:rsidRPr="0059083D">
        <w:rPr>
          <w:lang w:val="fr-CA"/>
        </w:rPr>
        <w:t>déclaration d’inscription</w:t>
      </w:r>
      <w:r w:rsidRPr="0059083D">
        <w:rPr>
          <w:lang w:val="fr-CA"/>
        </w:rPr>
        <w:t xml:space="preserve"> </w:t>
      </w:r>
      <w:r w:rsidR="0016271C" w:rsidRPr="0059083D">
        <w:rPr>
          <w:lang w:val="fr-CA"/>
        </w:rPr>
        <w:t xml:space="preserve">sur demande conformément au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_Ref448380571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2.6</w:t>
      </w:r>
      <w:r w:rsidRPr="00986BEB">
        <w:rPr>
          <w:u w:val="single"/>
          <w:lang w:val="fr-CA"/>
        </w:rPr>
        <w:fldChar w:fldCharType="end"/>
      </w:r>
      <w:r w:rsidRPr="0059083D">
        <w:rPr>
          <w:lang w:val="fr-CA"/>
        </w:rPr>
        <w:t xml:space="preserve">, </w:t>
      </w:r>
      <w:r w:rsidR="0016271C" w:rsidRPr="0059083D">
        <w:rPr>
          <w:lang w:val="fr-CA"/>
        </w:rPr>
        <w:t xml:space="preserve">auquel cas </w:t>
      </w:r>
      <w:r w:rsidR="001D5D61">
        <w:rPr>
          <w:lang w:val="fr-CA"/>
        </w:rPr>
        <w:t>l’</w:t>
      </w:r>
      <w:r w:rsidR="002A0F83" w:rsidRPr="00662997">
        <w:rPr>
          <w:lang w:val="fr-CA"/>
        </w:rPr>
        <w:t>inscription</w:t>
      </w:r>
      <w:r w:rsidRPr="00662997">
        <w:rPr>
          <w:lang w:val="fr-CA"/>
        </w:rPr>
        <w:t xml:space="preserve"> </w:t>
      </w:r>
      <w:r w:rsidR="0016271C" w:rsidRPr="00662997">
        <w:rPr>
          <w:lang w:val="fr-CA"/>
        </w:rPr>
        <w:t>retirée</w:t>
      </w:r>
      <w:r w:rsidR="0016271C" w:rsidRPr="0059083D">
        <w:rPr>
          <w:lang w:val="fr-CA"/>
        </w:rPr>
        <w:t xml:space="preserve"> est considérée comme « effectuée » pour l’application du présent </w:t>
      </w:r>
      <w:r w:rsidR="0016271C" w:rsidRPr="0059083D">
        <w:rPr>
          <w:u w:val="single"/>
          <w:lang w:val="fr-CA"/>
        </w:rPr>
        <w:t>alinéa </w:t>
      </w:r>
      <w:r w:rsidRPr="00986BEB">
        <w:rPr>
          <w:u w:val="single"/>
          <w:lang w:val="fr-CA"/>
        </w:rPr>
        <w:fldChar w:fldCharType="begin"/>
      </w:r>
      <w:r w:rsidRPr="00986BEB">
        <w:rPr>
          <w:u w:val="single"/>
          <w:lang w:val="fr-CA"/>
        </w:rPr>
        <w:instrText xml:space="preserve">  REF _Ref448380552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2.1d)</w:t>
      </w:r>
      <w:r w:rsidRPr="00986BEB">
        <w:rPr>
          <w:u w:val="single"/>
          <w:lang w:val="fr-CA"/>
        </w:rPr>
        <w:fldChar w:fldCharType="end"/>
      </w:r>
      <w:r w:rsidR="0016271C" w:rsidRPr="0059083D">
        <w:rPr>
          <w:lang w:val="fr-CA"/>
        </w:rPr>
        <w:t>;</w:t>
      </w:r>
      <w:r w:rsidR="00A2464D" w:rsidRPr="0059083D">
        <w:rPr>
          <w:lang w:val="fr-CA"/>
        </w:rPr>
        <w:t xml:space="preserve"> </w:t>
      </w:r>
      <w:r w:rsidR="008C0832">
        <w:rPr>
          <w:u w:val="single"/>
          <w:lang w:val="fr-CA"/>
        </w:rPr>
        <w:t>toutefois</w:t>
      </w:r>
      <w:r w:rsidR="008C0832">
        <w:rPr>
          <w:lang w:val="fr-CA"/>
        </w:rPr>
        <w:t xml:space="preserve">, </w:t>
      </w:r>
      <w:r w:rsidR="0016271C" w:rsidRPr="0059083D">
        <w:rPr>
          <w:lang w:val="fr-CA"/>
        </w:rPr>
        <w:t xml:space="preserve">si ce retrait </w:t>
      </w:r>
      <w:r w:rsidR="008C0832">
        <w:rPr>
          <w:lang w:val="fr-CA"/>
        </w:rPr>
        <w:t xml:space="preserve">a lieu </w:t>
      </w:r>
      <w:r w:rsidR="0016271C" w:rsidRPr="0059083D">
        <w:rPr>
          <w:lang w:val="fr-CA"/>
        </w:rPr>
        <w:t xml:space="preserve">pendant une période où la </w:t>
      </w:r>
      <w:r w:rsidRPr="0059083D">
        <w:rPr>
          <w:lang w:val="fr-CA"/>
        </w:rPr>
        <w:t>Société</w:t>
      </w:r>
      <w:r w:rsidR="00A2464D" w:rsidRPr="0059083D">
        <w:rPr>
          <w:lang w:val="fr-CA"/>
        </w:rPr>
        <w:t xml:space="preserve"> </w:t>
      </w:r>
      <w:r w:rsidR="0016271C" w:rsidRPr="0059083D">
        <w:rPr>
          <w:lang w:val="fr-CA"/>
        </w:rPr>
        <w:t>a reporté la prise de mesures conformément à l’</w:t>
      </w:r>
      <w:r w:rsidR="0016271C" w:rsidRPr="0059083D">
        <w:rPr>
          <w:u w:val="single"/>
          <w:lang w:val="fr-CA"/>
        </w:rPr>
        <w:t>alinéa </w:t>
      </w:r>
      <w:r w:rsidR="00A2464D" w:rsidRPr="00986BEB">
        <w:rPr>
          <w:u w:val="single"/>
          <w:lang w:val="fr-CA"/>
        </w:rPr>
        <w:fldChar w:fldCharType="begin"/>
      </w:r>
      <w:r w:rsidR="00A2464D" w:rsidRPr="00986BEB">
        <w:rPr>
          <w:u w:val="single"/>
          <w:lang w:val="fr-CA"/>
        </w:rPr>
        <w:instrText xml:space="preserve"> REF _Ref448380548 \r \h  \* MERGEFORMAT </w:instrText>
      </w:r>
      <w:r w:rsidR="00A2464D" w:rsidRPr="00986BEB">
        <w:rPr>
          <w:u w:val="single"/>
          <w:lang w:val="fr-CA"/>
        </w:rPr>
      </w:r>
      <w:r w:rsidR="00A2464D" w:rsidRPr="00986BEB">
        <w:rPr>
          <w:u w:val="single"/>
          <w:lang w:val="fr-CA"/>
        </w:rPr>
        <w:fldChar w:fldCharType="separate"/>
      </w:r>
      <w:r w:rsidR="00AE1D96">
        <w:rPr>
          <w:u w:val="single"/>
          <w:lang w:val="fr-CA"/>
        </w:rPr>
        <w:t>2.1</w:t>
      </w:r>
      <w:r w:rsidR="00A2464D" w:rsidRPr="00986BEB">
        <w:rPr>
          <w:u w:val="single"/>
          <w:lang w:val="fr-CA"/>
        </w:rPr>
        <w:fldChar w:fldCharType="end"/>
      </w:r>
      <w:r w:rsidR="00A2464D" w:rsidRPr="0059083D">
        <w:rPr>
          <w:u w:val="single"/>
          <w:lang w:val="fr-CA"/>
        </w:rPr>
        <w:fldChar w:fldCharType="begin"/>
      </w:r>
      <w:r w:rsidR="00A2464D" w:rsidRPr="0059083D">
        <w:rPr>
          <w:u w:val="single"/>
          <w:lang w:val="fr-CA"/>
        </w:rPr>
        <w:instrText xml:space="preserve"> REF _Ref448380551 \r \h </w:instrText>
      </w:r>
      <w:r w:rsidR="00A2464D" w:rsidRPr="0059083D">
        <w:rPr>
          <w:u w:val="single"/>
          <w:lang w:val="fr-CA"/>
        </w:rPr>
      </w:r>
      <w:r w:rsidR="00A2464D" w:rsidRPr="0059083D">
        <w:rPr>
          <w:u w:val="single"/>
          <w:lang w:val="fr-CA"/>
        </w:rPr>
        <w:fldChar w:fldCharType="separate"/>
      </w:r>
      <w:r w:rsidR="00AE1D96">
        <w:rPr>
          <w:u w:val="single"/>
          <w:lang w:val="fr-CA"/>
        </w:rPr>
        <w:t>c)</w:t>
      </w:r>
      <w:r w:rsidR="00A2464D" w:rsidRPr="0059083D">
        <w:rPr>
          <w:u w:val="single"/>
          <w:lang w:val="fr-CA"/>
        </w:rPr>
        <w:fldChar w:fldCharType="end"/>
      </w:r>
      <w:r w:rsidR="00A2464D" w:rsidRPr="0059083D">
        <w:rPr>
          <w:lang w:val="fr-CA"/>
        </w:rPr>
        <w:t xml:space="preserve">, </w:t>
      </w:r>
      <w:r w:rsidR="0016271C" w:rsidRPr="0059083D">
        <w:rPr>
          <w:lang w:val="fr-CA"/>
        </w:rPr>
        <w:t xml:space="preserve">alors les </w:t>
      </w:r>
      <w:r w:rsidR="00E043C9" w:rsidRPr="0059083D">
        <w:rPr>
          <w:lang w:val="fr-CA"/>
        </w:rPr>
        <w:t>Porteurs demandeurs</w:t>
      </w:r>
      <w:r w:rsidR="00A2464D" w:rsidRPr="0059083D">
        <w:rPr>
          <w:lang w:val="fr-CA"/>
        </w:rPr>
        <w:t xml:space="preserve"> </w:t>
      </w:r>
      <w:r w:rsidR="0016271C" w:rsidRPr="0059083D">
        <w:rPr>
          <w:lang w:val="fr-CA"/>
        </w:rPr>
        <w:t>peuvent retirer leur demande d’inscription et cette inscription ne sera pas considérée comme « effectuée » pour l’application du présent</w:t>
      </w:r>
      <w:r w:rsidR="008C0832">
        <w:rPr>
          <w:lang w:val="fr-CA"/>
        </w:rPr>
        <w:t xml:space="preserve"> </w:t>
      </w:r>
      <w:r w:rsidR="0016271C" w:rsidRPr="0059083D">
        <w:rPr>
          <w:u w:val="single"/>
          <w:lang w:val="fr-CA"/>
        </w:rPr>
        <w:t>alinéa </w:t>
      </w:r>
      <w:r w:rsidR="00A2464D" w:rsidRPr="00986BEB">
        <w:rPr>
          <w:u w:val="single"/>
          <w:lang w:val="fr-CA"/>
        </w:rPr>
        <w:fldChar w:fldCharType="begin"/>
      </w:r>
      <w:r w:rsidR="00A2464D" w:rsidRPr="00986BEB">
        <w:rPr>
          <w:u w:val="single"/>
          <w:lang w:val="fr-CA"/>
        </w:rPr>
        <w:instrText xml:space="preserve"> REF _Ref448380548 \r \h  \* MERGEFORMAT </w:instrText>
      </w:r>
      <w:r w:rsidR="00A2464D" w:rsidRPr="00986BEB">
        <w:rPr>
          <w:u w:val="single"/>
          <w:lang w:val="fr-CA"/>
        </w:rPr>
      </w:r>
      <w:r w:rsidR="00A2464D" w:rsidRPr="00986BEB">
        <w:rPr>
          <w:u w:val="single"/>
          <w:lang w:val="fr-CA"/>
        </w:rPr>
        <w:fldChar w:fldCharType="separate"/>
      </w:r>
      <w:r w:rsidR="00AE1D96">
        <w:rPr>
          <w:u w:val="single"/>
          <w:lang w:val="fr-CA"/>
        </w:rPr>
        <w:t>2.1</w:t>
      </w:r>
      <w:r w:rsidR="00A2464D" w:rsidRPr="00986BEB">
        <w:rPr>
          <w:u w:val="single"/>
          <w:lang w:val="fr-CA"/>
        </w:rPr>
        <w:fldChar w:fldCharType="end"/>
      </w:r>
      <w:r w:rsidR="00A2464D" w:rsidRPr="0059083D">
        <w:rPr>
          <w:u w:val="single"/>
          <w:lang w:val="fr-CA"/>
        </w:rPr>
        <w:fldChar w:fldCharType="begin"/>
      </w:r>
      <w:r w:rsidR="00A2464D" w:rsidRPr="0059083D">
        <w:rPr>
          <w:u w:val="single"/>
          <w:lang w:val="fr-CA"/>
        </w:rPr>
        <w:instrText xml:space="preserve"> REF _Ref448380552 \r \h  \* MERGEFORMAT </w:instrText>
      </w:r>
      <w:r w:rsidR="00A2464D" w:rsidRPr="0059083D">
        <w:rPr>
          <w:u w:val="single"/>
          <w:lang w:val="fr-CA"/>
        </w:rPr>
      </w:r>
      <w:r w:rsidR="00A2464D" w:rsidRPr="0059083D">
        <w:rPr>
          <w:u w:val="single"/>
          <w:lang w:val="fr-CA"/>
        </w:rPr>
        <w:fldChar w:fldCharType="separate"/>
      </w:r>
      <w:r w:rsidR="00AE1D96">
        <w:rPr>
          <w:u w:val="single"/>
          <w:lang w:val="fr-CA"/>
        </w:rPr>
        <w:t>d)</w:t>
      </w:r>
      <w:r w:rsidR="00A2464D" w:rsidRPr="0059083D">
        <w:rPr>
          <w:u w:val="single"/>
          <w:lang w:val="fr-CA"/>
        </w:rPr>
        <w:fldChar w:fldCharType="end"/>
      </w:r>
      <w:r w:rsidRPr="0059083D">
        <w:rPr>
          <w:lang w:val="fr-CA"/>
        </w:rPr>
        <w:t>.</w:t>
      </w:r>
      <w:bookmarkEnd w:id="102"/>
    </w:p>
    <w:p w14:paraId="05CAA7A3" w14:textId="7A6A916C" w:rsidR="00037C7E" w:rsidRPr="00986BEB" w:rsidRDefault="0006561D">
      <w:pPr>
        <w:pStyle w:val="StandardL3"/>
        <w:rPr>
          <w:lang w:val="fr-CA"/>
        </w:rPr>
      </w:pPr>
      <w:bookmarkStart w:id="108" w:name="_Ref448380553"/>
      <w:r w:rsidRPr="0059083D">
        <w:rPr>
          <w:lang w:val="fr-CA"/>
        </w:rPr>
        <w:t xml:space="preserve">Pour l’application de </w:t>
      </w:r>
      <w:r w:rsidR="000B08F2" w:rsidRPr="0059083D">
        <w:rPr>
          <w:lang w:val="fr-CA"/>
        </w:rPr>
        <w:t xml:space="preserve">la présente Convention, </w:t>
      </w:r>
      <w:r w:rsidRPr="0059083D">
        <w:rPr>
          <w:lang w:val="fr-CA"/>
        </w:rPr>
        <w:t xml:space="preserve">le dépôt simultané d’une déclaration </w:t>
      </w:r>
      <w:r w:rsidR="002A0F83" w:rsidRPr="0059083D">
        <w:rPr>
          <w:lang w:val="fr-CA"/>
        </w:rPr>
        <w:t>d’inscription</w:t>
      </w:r>
      <w:r w:rsidR="000B08F2" w:rsidRPr="0059083D">
        <w:rPr>
          <w:lang w:val="fr-CA"/>
        </w:rPr>
        <w:t xml:space="preserve"> </w:t>
      </w:r>
      <w:r w:rsidRPr="0059083D">
        <w:rPr>
          <w:lang w:val="fr-CA"/>
        </w:rPr>
        <w:t xml:space="preserve">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et des Lois sur les valeurs mobilières canadiennes</w:t>
      </w:r>
      <w:r w:rsidR="000B08F2" w:rsidRPr="0059083D">
        <w:rPr>
          <w:lang w:val="fr-CA"/>
        </w:rPr>
        <w:t xml:space="preserve"> </w:t>
      </w:r>
      <w:r w:rsidRPr="0059083D">
        <w:rPr>
          <w:lang w:val="fr-CA"/>
        </w:rPr>
        <w:t>sera considéré comme un seul dépôt</w:t>
      </w:r>
      <w:r w:rsidR="000B08F2" w:rsidRPr="0059083D">
        <w:rPr>
          <w:lang w:val="fr-CA"/>
        </w:rPr>
        <w:t>.</w:t>
      </w:r>
      <w:bookmarkEnd w:id="108"/>
    </w:p>
    <w:p w14:paraId="4A8DD26F" w14:textId="7EB075FF" w:rsidR="00037C7E" w:rsidRPr="00986BEB" w:rsidRDefault="0006561D">
      <w:pPr>
        <w:pStyle w:val="StandardL2"/>
        <w:rPr>
          <w:lang w:val="fr-CA"/>
        </w:rPr>
      </w:pPr>
      <w:bookmarkStart w:id="109" w:name="_Ref448380554"/>
      <w:bookmarkStart w:id="110" w:name="_Toc132874718"/>
      <w:r w:rsidRPr="009D4254">
        <w:rPr>
          <w:lang w:val="fr-CA"/>
        </w:rPr>
        <w:t>Inscription par la Société</w:t>
      </w:r>
      <w:r w:rsidR="000B08F2" w:rsidRPr="009D4254">
        <w:rPr>
          <w:snapToGrid w:val="0"/>
          <w:lang w:val="fr-CA"/>
        </w:rPr>
        <w:t>.</w:t>
      </w:r>
      <w:bookmarkEnd w:id="109"/>
      <w:bookmarkEnd w:id="110"/>
    </w:p>
    <w:p w14:paraId="3DCECB55" w14:textId="7B2A0712" w:rsidR="00037C7E" w:rsidRPr="0059083D" w:rsidRDefault="0006561D">
      <w:pPr>
        <w:pStyle w:val="StandardCont2"/>
        <w:rPr>
          <w:lang w:val="fr-CA"/>
        </w:rPr>
      </w:pPr>
      <w:r w:rsidRPr="0059083D">
        <w:rPr>
          <w:snapToGrid w:val="0"/>
          <w:lang w:val="fr-CA"/>
        </w:rPr>
        <w:t xml:space="preserve">Si </w:t>
      </w:r>
      <w:r w:rsidR="000B08F2" w:rsidRPr="0059083D">
        <w:rPr>
          <w:snapToGrid w:val="0"/>
          <w:lang w:val="fr-CA"/>
        </w:rPr>
        <w:t>la Société</w:t>
      </w:r>
      <w:r w:rsidR="00421E9D" w:rsidRPr="0059083D">
        <w:rPr>
          <w:snapToGrid w:val="0"/>
          <w:lang w:val="fr-CA"/>
        </w:rPr>
        <w:t xml:space="preserve"> </w:t>
      </w:r>
      <w:r w:rsidRPr="0059083D">
        <w:rPr>
          <w:snapToGrid w:val="0"/>
          <w:lang w:val="fr-CA"/>
        </w:rPr>
        <w:t>propose d’effectuer une inscription</w:t>
      </w:r>
      <w:r w:rsidR="00421E9D" w:rsidRPr="0059083D">
        <w:rPr>
          <w:snapToGrid w:val="0"/>
          <w:lang w:val="fr-CA"/>
        </w:rPr>
        <w:t xml:space="preserve"> (</w:t>
      </w:r>
      <w:r w:rsidRPr="0059083D">
        <w:rPr>
          <w:snapToGrid w:val="0"/>
          <w:lang w:val="fr-CA"/>
        </w:rPr>
        <w:t xml:space="preserve">y compris, à cette fin, pour des actionnaires </w:t>
      </w:r>
      <w:r w:rsidR="001A6E3C">
        <w:rPr>
          <w:snapToGrid w:val="0"/>
          <w:lang w:val="fr-CA"/>
        </w:rPr>
        <w:t xml:space="preserve">autres que </w:t>
      </w:r>
      <w:r w:rsidRPr="0059083D">
        <w:rPr>
          <w:snapToGrid w:val="0"/>
          <w:lang w:val="fr-CA"/>
        </w:rPr>
        <w:t xml:space="preserve">les </w:t>
      </w:r>
      <w:r w:rsidR="00E043C9" w:rsidRPr="0059083D">
        <w:rPr>
          <w:snapToGrid w:val="0"/>
          <w:lang w:val="fr-CA"/>
        </w:rPr>
        <w:t>Porteurs</w:t>
      </w:r>
      <w:r w:rsidR="00421E9D" w:rsidRPr="0059083D">
        <w:rPr>
          <w:snapToGrid w:val="0"/>
          <w:lang w:val="fr-CA"/>
        </w:rPr>
        <w:t xml:space="preserve">) </w:t>
      </w:r>
      <w:r w:rsidRPr="0059083D">
        <w:rPr>
          <w:snapToGrid w:val="0"/>
          <w:lang w:val="fr-CA"/>
        </w:rPr>
        <w:t xml:space="preserve">de ses </w:t>
      </w:r>
      <w:r w:rsidR="00421E9D" w:rsidRPr="0059083D">
        <w:rPr>
          <w:snapToGrid w:val="0"/>
          <w:lang w:val="fr-CA"/>
        </w:rPr>
        <w:t>[</w:t>
      </w:r>
      <w:r w:rsidR="000B08F2" w:rsidRPr="0059083D">
        <w:rPr>
          <w:snapToGrid w:val="0"/>
          <w:lang w:val="fr-CA"/>
        </w:rPr>
        <w:t>Actions ordinaires</w:t>
      </w:r>
      <w:r w:rsidR="00421E9D" w:rsidRPr="0059083D">
        <w:rPr>
          <w:snapToGrid w:val="0"/>
          <w:lang w:val="fr-CA"/>
        </w:rPr>
        <w:t>]</w:t>
      </w:r>
      <w:r w:rsidR="00604EAF">
        <w:rPr>
          <w:snapToGrid w:val="0"/>
          <w:lang w:val="fr-CA"/>
        </w:rPr>
        <w:t xml:space="preserve"> </w:t>
      </w:r>
      <w:r w:rsidR="00421E9D" w:rsidRPr="0059083D">
        <w:rPr>
          <w:snapToGrid w:val="0"/>
          <w:lang w:val="fr-CA"/>
        </w:rPr>
        <w:t>[</w:t>
      </w:r>
      <w:r w:rsidRPr="0059083D">
        <w:rPr>
          <w:snapToGrid w:val="0"/>
          <w:lang w:val="fr-CA"/>
        </w:rPr>
        <w:t>titres</w:t>
      </w:r>
      <w:r w:rsidR="00421E9D" w:rsidRPr="0059083D">
        <w:rPr>
          <w:snapToGrid w:val="0"/>
          <w:lang w:val="fr-CA"/>
        </w:rPr>
        <w:t xml:space="preserve">] </w:t>
      </w:r>
      <w:r w:rsidRPr="0059083D">
        <w:rPr>
          <w:snapToGrid w:val="0"/>
          <w:lang w:val="fr-CA"/>
        </w:rPr>
        <w:t xml:space="preserve">en vertu de </w:t>
      </w:r>
      <w:r w:rsidR="00F52467" w:rsidRPr="0059083D">
        <w:rPr>
          <w:snapToGrid w:val="0"/>
          <w:lang w:val="fr-CA"/>
        </w:rPr>
        <w:t xml:space="preserve">la Loi de </w:t>
      </w:r>
      <w:r w:rsidR="00F52467" w:rsidRPr="00986BEB">
        <w:rPr>
          <w:snapToGrid w:val="0"/>
          <w:lang w:val="fr-CA"/>
        </w:rPr>
        <w:t>1933</w:t>
      </w:r>
      <w:r w:rsidR="00421E9D" w:rsidRPr="0059083D">
        <w:rPr>
          <w:snapToGrid w:val="0"/>
          <w:lang w:val="fr-CA"/>
        </w:rPr>
        <w:t xml:space="preserve"> </w:t>
      </w:r>
      <w:r w:rsidRPr="0059083D">
        <w:rPr>
          <w:snapToGrid w:val="0"/>
          <w:lang w:val="fr-CA"/>
        </w:rPr>
        <w:t>ou des Lois sur les valeurs mobilières canadiennes</w:t>
      </w:r>
      <w:r w:rsidR="00421E9D" w:rsidRPr="0059083D">
        <w:rPr>
          <w:snapToGrid w:val="0"/>
          <w:lang w:val="fr-CA"/>
        </w:rPr>
        <w:t xml:space="preserve"> </w:t>
      </w:r>
      <w:r w:rsidRPr="0059083D">
        <w:rPr>
          <w:snapToGrid w:val="0"/>
          <w:lang w:val="fr-CA"/>
        </w:rPr>
        <w:t xml:space="preserve">dans le cadre d’un appel public à l’épargne visant ces titres uniquement </w:t>
      </w:r>
      <w:r w:rsidR="00B54434">
        <w:rPr>
          <w:snapToGrid w:val="0"/>
          <w:lang w:val="fr-CA"/>
        </w:rPr>
        <w:t xml:space="preserve">pour une </w:t>
      </w:r>
      <w:r w:rsidRPr="0059083D">
        <w:rPr>
          <w:snapToGrid w:val="0"/>
          <w:lang w:val="fr-CA"/>
        </w:rPr>
        <w:t xml:space="preserve">contrepartie </w:t>
      </w:r>
      <w:r w:rsidR="00B54434">
        <w:rPr>
          <w:snapToGrid w:val="0"/>
          <w:lang w:val="fr-CA"/>
        </w:rPr>
        <w:t xml:space="preserve">en </w:t>
      </w:r>
      <w:r w:rsidRPr="0059083D">
        <w:rPr>
          <w:snapToGrid w:val="0"/>
          <w:lang w:val="fr-CA"/>
        </w:rPr>
        <w:t xml:space="preserve">espèces </w:t>
      </w:r>
      <w:r w:rsidR="00421E9D" w:rsidRPr="0059083D">
        <w:rPr>
          <w:snapToGrid w:val="0"/>
          <w:lang w:val="fr-CA"/>
        </w:rPr>
        <w:t>(</w:t>
      </w:r>
      <w:r w:rsidRPr="0059083D">
        <w:rPr>
          <w:snapToGrid w:val="0"/>
          <w:lang w:val="fr-CA"/>
        </w:rPr>
        <w:t xml:space="preserve">sauf dans le cadre d’une </w:t>
      </w:r>
      <w:r w:rsidR="00F52467" w:rsidRPr="0059083D">
        <w:rPr>
          <w:snapToGrid w:val="0"/>
          <w:lang w:val="fr-CA"/>
        </w:rPr>
        <w:t>Inscription exclue</w:t>
      </w:r>
      <w:r w:rsidR="00421E9D" w:rsidRPr="0059083D">
        <w:rPr>
          <w:snapToGrid w:val="0"/>
          <w:lang w:val="fr-CA"/>
        </w:rPr>
        <w:t xml:space="preserve">[, </w:t>
      </w:r>
      <w:r w:rsidRPr="0059083D">
        <w:rPr>
          <w:snapToGrid w:val="0"/>
          <w:lang w:val="fr-CA"/>
        </w:rPr>
        <w:t>d’un</w:t>
      </w:r>
      <w:r w:rsidR="00B54434">
        <w:rPr>
          <w:snapToGrid w:val="0"/>
          <w:lang w:val="fr-CA"/>
        </w:rPr>
        <w:t>e</w:t>
      </w:r>
      <w:r w:rsidRPr="0059083D">
        <w:rPr>
          <w:snapToGrid w:val="0"/>
          <w:lang w:val="fr-CA"/>
        </w:rPr>
        <w:t xml:space="preserve"> inscription relative à une demande </w:t>
      </w:r>
      <w:r w:rsidR="00B54434">
        <w:rPr>
          <w:snapToGrid w:val="0"/>
          <w:lang w:val="fr-CA"/>
        </w:rPr>
        <w:t xml:space="preserve">présentée </w:t>
      </w:r>
      <w:r w:rsidRPr="0059083D">
        <w:rPr>
          <w:snapToGrid w:val="0"/>
          <w:lang w:val="fr-CA"/>
        </w:rPr>
        <w:t xml:space="preserve">conformément au </w:t>
      </w:r>
      <w:r w:rsidR="002A0F83" w:rsidRPr="0059083D">
        <w:rPr>
          <w:snapToGrid w:val="0"/>
          <w:u w:val="single"/>
          <w:lang w:val="fr-CA"/>
        </w:rPr>
        <w:t>paragraphe </w:t>
      </w:r>
      <w:r w:rsidR="00421E9D" w:rsidRPr="00986BEB">
        <w:rPr>
          <w:snapToGrid w:val="0"/>
          <w:u w:val="single"/>
          <w:lang w:val="fr-CA"/>
        </w:rPr>
        <w:fldChar w:fldCharType="begin"/>
      </w:r>
      <w:r w:rsidR="00421E9D" w:rsidRPr="00986BEB">
        <w:rPr>
          <w:snapToGrid w:val="0"/>
          <w:u w:val="single"/>
          <w:lang w:val="fr-CA"/>
        </w:rPr>
        <w:instrText xml:space="preserve"> REF _Ref448380548 \r \h </w:instrText>
      </w:r>
      <w:r w:rsidR="00421E9D" w:rsidRPr="00986BEB">
        <w:rPr>
          <w:snapToGrid w:val="0"/>
          <w:u w:val="single"/>
          <w:lang w:val="fr-CA"/>
        </w:rPr>
      </w:r>
      <w:r w:rsidR="00421E9D" w:rsidRPr="00986BEB">
        <w:rPr>
          <w:snapToGrid w:val="0"/>
          <w:u w:val="single"/>
          <w:lang w:val="fr-CA"/>
        </w:rPr>
        <w:fldChar w:fldCharType="separate"/>
      </w:r>
      <w:r w:rsidR="00AE1D96">
        <w:rPr>
          <w:snapToGrid w:val="0"/>
          <w:u w:val="single"/>
          <w:lang w:val="fr-CA"/>
        </w:rPr>
        <w:t>2.1</w:t>
      </w:r>
      <w:r w:rsidR="00421E9D" w:rsidRPr="00986BEB">
        <w:rPr>
          <w:snapToGrid w:val="0"/>
          <w:u w:val="single"/>
          <w:lang w:val="fr-CA"/>
        </w:rPr>
        <w:fldChar w:fldCharType="end"/>
      </w:r>
      <w:r w:rsidR="000B08F2" w:rsidRPr="0059083D">
        <w:rPr>
          <w:snapToGrid w:val="0"/>
          <w:lang w:val="fr-CA"/>
        </w:rPr>
        <w:t>]</w:t>
      </w:r>
      <w:r w:rsidR="00604EAF">
        <w:rPr>
          <w:snapToGrid w:val="0"/>
          <w:lang w:val="fr-CA"/>
        </w:rPr>
        <w:t xml:space="preserve"> </w:t>
      </w:r>
      <w:r w:rsidR="000B08F2" w:rsidRPr="0059083D">
        <w:rPr>
          <w:snapToGrid w:val="0"/>
          <w:lang w:val="fr-CA"/>
        </w:rPr>
        <w:t>[</w:t>
      </w:r>
      <w:r w:rsidRPr="0059083D">
        <w:rPr>
          <w:snapToGrid w:val="0"/>
          <w:lang w:val="fr-CA"/>
        </w:rPr>
        <w:t>ou du PAPE</w:t>
      </w:r>
      <w:r w:rsidR="000B08F2" w:rsidRPr="0059083D">
        <w:rPr>
          <w:snapToGrid w:val="0"/>
          <w:lang w:val="fr-CA"/>
        </w:rPr>
        <w:t xml:space="preserve">]), la Société </w:t>
      </w:r>
      <w:r w:rsidRPr="0059083D">
        <w:rPr>
          <w:snapToGrid w:val="0"/>
          <w:lang w:val="fr-CA"/>
        </w:rPr>
        <w:t>doit alors remettre sans délai à chaque Porteur un avis de cette inscription</w:t>
      </w:r>
      <w:r w:rsidR="000B08F2" w:rsidRPr="0059083D">
        <w:rPr>
          <w:snapToGrid w:val="0"/>
          <w:lang w:val="fr-CA"/>
        </w:rPr>
        <w:t xml:space="preserve">. </w:t>
      </w:r>
      <w:r w:rsidRPr="0059083D">
        <w:rPr>
          <w:snapToGrid w:val="0"/>
          <w:lang w:val="fr-CA"/>
        </w:rPr>
        <w:t>À la demande de chaque Porteur présentée dans les vingt </w:t>
      </w:r>
      <w:r w:rsidR="000B08F2" w:rsidRPr="0059083D">
        <w:rPr>
          <w:snapToGrid w:val="0"/>
          <w:lang w:val="fr-CA"/>
        </w:rPr>
        <w:t>(</w:t>
      </w:r>
      <w:r w:rsidR="000B08F2" w:rsidRPr="00986BEB">
        <w:rPr>
          <w:snapToGrid w:val="0"/>
          <w:lang w:val="fr-CA"/>
        </w:rPr>
        <w:t>20</w:t>
      </w:r>
      <w:r w:rsidR="000B08F2" w:rsidRPr="0059083D">
        <w:rPr>
          <w:snapToGrid w:val="0"/>
          <w:lang w:val="fr-CA"/>
        </w:rPr>
        <w:t>)</w:t>
      </w:r>
      <w:r w:rsidRPr="0059083D">
        <w:rPr>
          <w:snapToGrid w:val="0"/>
          <w:lang w:val="fr-CA"/>
        </w:rPr>
        <w:t xml:space="preserve"> jours suivant la remise de cet avis par </w:t>
      </w:r>
      <w:r w:rsidR="000B08F2" w:rsidRPr="0059083D">
        <w:rPr>
          <w:snapToGrid w:val="0"/>
          <w:lang w:val="fr-CA"/>
        </w:rPr>
        <w:t xml:space="preserve">la Société, la Société </w:t>
      </w:r>
      <w:r w:rsidRPr="0059083D">
        <w:rPr>
          <w:snapToGrid w:val="0"/>
          <w:lang w:val="fr-CA"/>
        </w:rPr>
        <w:t xml:space="preserve">doit, sous réserve des dispositions du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_Ref448380555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2.3</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faire inscrire tous les Titres à inscrire</w:t>
      </w:r>
      <w:r w:rsidR="000B08F2" w:rsidRPr="0059083D">
        <w:rPr>
          <w:snapToGrid w:val="0"/>
          <w:lang w:val="fr-CA"/>
        </w:rPr>
        <w:t xml:space="preserve"> </w:t>
      </w:r>
      <w:r w:rsidRPr="0059083D">
        <w:rPr>
          <w:snapToGrid w:val="0"/>
          <w:lang w:val="fr-CA"/>
        </w:rPr>
        <w:t xml:space="preserve">que </w:t>
      </w:r>
      <w:r w:rsidR="00A05776">
        <w:rPr>
          <w:snapToGrid w:val="0"/>
          <w:lang w:val="fr-CA"/>
        </w:rPr>
        <w:t>ce</w:t>
      </w:r>
      <w:r w:rsidRPr="0059083D">
        <w:rPr>
          <w:snapToGrid w:val="0"/>
          <w:lang w:val="fr-CA"/>
        </w:rPr>
        <w:t xml:space="preserve"> Porteur a demandé d’inclure dans cette inscription</w:t>
      </w:r>
      <w:r w:rsidR="000B08F2" w:rsidRPr="0059083D">
        <w:rPr>
          <w:snapToGrid w:val="0"/>
          <w:lang w:val="fr-CA"/>
        </w:rPr>
        <w:t xml:space="preserve">. La Société </w:t>
      </w:r>
      <w:r w:rsidRPr="0059083D">
        <w:rPr>
          <w:snapToGrid w:val="0"/>
          <w:lang w:val="fr-CA"/>
        </w:rPr>
        <w:t xml:space="preserve">a le droit de résilier ou de retirer toute inscription qu’elle a entreprise aux termes du présent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_Ref448380554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2.2</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 xml:space="preserve">avant la date </w:t>
      </w:r>
      <w:r w:rsidR="00604EAF">
        <w:rPr>
          <w:snapToGrid w:val="0"/>
          <w:lang w:val="fr-CA"/>
        </w:rPr>
        <w:t xml:space="preserve">d’entrée en vigueur </w:t>
      </w:r>
      <w:r w:rsidRPr="0059083D">
        <w:rPr>
          <w:snapToGrid w:val="0"/>
          <w:lang w:val="fr-CA"/>
        </w:rPr>
        <w:t>de celle-ci</w:t>
      </w:r>
      <w:r w:rsidR="000B08F2" w:rsidRPr="0059083D">
        <w:rPr>
          <w:snapToGrid w:val="0"/>
          <w:lang w:val="fr-CA"/>
        </w:rPr>
        <w:t xml:space="preserve">, </w:t>
      </w:r>
      <w:r w:rsidRPr="0059083D">
        <w:rPr>
          <w:snapToGrid w:val="0"/>
          <w:lang w:val="fr-CA"/>
        </w:rPr>
        <w:t>qu’un Porteur ait choisi ou non d’inclure des Titres à inscrire</w:t>
      </w:r>
      <w:r w:rsidR="000B08F2" w:rsidRPr="0059083D">
        <w:rPr>
          <w:snapToGrid w:val="0"/>
          <w:lang w:val="fr-CA"/>
        </w:rPr>
        <w:t xml:space="preserve"> </w:t>
      </w:r>
      <w:r w:rsidRPr="0059083D">
        <w:rPr>
          <w:snapToGrid w:val="0"/>
          <w:lang w:val="fr-CA"/>
        </w:rPr>
        <w:t>dans cette inscription</w:t>
      </w:r>
      <w:r w:rsidR="000B08F2" w:rsidRPr="0059083D">
        <w:rPr>
          <w:snapToGrid w:val="0"/>
          <w:lang w:val="fr-CA"/>
        </w:rPr>
        <w:t xml:space="preserve">. </w:t>
      </w:r>
      <w:r w:rsidRPr="0059083D">
        <w:rPr>
          <w:snapToGrid w:val="0"/>
          <w:lang w:val="fr-CA"/>
        </w:rPr>
        <w:t xml:space="preserve">Les frais </w:t>
      </w:r>
      <w:r w:rsidR="000B08F2" w:rsidRPr="0059083D">
        <w:rPr>
          <w:snapToGrid w:val="0"/>
          <w:lang w:val="fr-CA"/>
        </w:rPr>
        <w:t>(</w:t>
      </w:r>
      <w:r w:rsidRPr="0059083D">
        <w:rPr>
          <w:snapToGrid w:val="0"/>
          <w:lang w:val="fr-CA"/>
        </w:rPr>
        <w:t xml:space="preserve">sauf les </w:t>
      </w:r>
      <w:r w:rsidR="002A0F83" w:rsidRPr="0059083D">
        <w:rPr>
          <w:snapToGrid w:val="0"/>
          <w:lang w:val="fr-CA"/>
        </w:rPr>
        <w:t>Frais de vente</w:t>
      </w:r>
      <w:r w:rsidR="000B08F2" w:rsidRPr="0059083D">
        <w:rPr>
          <w:snapToGrid w:val="0"/>
          <w:lang w:val="fr-CA"/>
        </w:rPr>
        <w:t xml:space="preserve">) </w:t>
      </w:r>
      <w:r w:rsidRPr="0059083D">
        <w:rPr>
          <w:snapToGrid w:val="0"/>
          <w:lang w:val="fr-CA"/>
        </w:rPr>
        <w:t xml:space="preserve">liés au retrait de l’inscription sont assumés par </w:t>
      </w:r>
      <w:r w:rsidR="000B08F2" w:rsidRPr="0059083D">
        <w:rPr>
          <w:snapToGrid w:val="0"/>
          <w:lang w:val="fr-CA"/>
        </w:rPr>
        <w:t xml:space="preserve">la Société </w:t>
      </w:r>
      <w:r w:rsidRPr="0059083D">
        <w:rPr>
          <w:snapToGrid w:val="0"/>
          <w:lang w:val="fr-CA"/>
        </w:rPr>
        <w:t xml:space="preserve">conformément au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_Ref448380571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2.6</w:t>
      </w:r>
      <w:r w:rsidR="000B08F2" w:rsidRPr="00986BEB">
        <w:rPr>
          <w:snapToGrid w:val="0"/>
          <w:u w:val="single"/>
          <w:lang w:val="fr-CA"/>
        </w:rPr>
        <w:fldChar w:fldCharType="end"/>
      </w:r>
      <w:r w:rsidR="000B08F2" w:rsidRPr="0059083D">
        <w:rPr>
          <w:snapToGrid w:val="0"/>
          <w:lang w:val="fr-CA"/>
        </w:rPr>
        <w:t>.</w:t>
      </w:r>
    </w:p>
    <w:p w14:paraId="415B6202" w14:textId="6ADD4512" w:rsidR="00037C7E" w:rsidRPr="00986BEB" w:rsidRDefault="0006561D">
      <w:pPr>
        <w:pStyle w:val="StandardL2"/>
        <w:rPr>
          <w:lang w:val="fr-CA"/>
        </w:rPr>
      </w:pPr>
      <w:bookmarkStart w:id="111" w:name="_Ref448380555"/>
      <w:bookmarkStart w:id="112" w:name="_Toc132874719"/>
      <w:r w:rsidRPr="009D4254">
        <w:rPr>
          <w:lang w:val="fr-CA"/>
        </w:rPr>
        <w:t>Exigences en matière de prise ferme</w:t>
      </w:r>
      <w:r w:rsidR="000B08F2" w:rsidRPr="009D4254">
        <w:rPr>
          <w:snapToGrid w:val="0"/>
          <w:lang w:val="fr-CA"/>
        </w:rPr>
        <w:t>.</w:t>
      </w:r>
      <w:bookmarkEnd w:id="111"/>
      <w:bookmarkEnd w:id="112"/>
    </w:p>
    <w:p w14:paraId="69CBB04E" w14:textId="208D166E" w:rsidR="00037C7E" w:rsidRPr="00986BEB" w:rsidRDefault="0006561D">
      <w:pPr>
        <w:pStyle w:val="StandardL3"/>
        <w:rPr>
          <w:lang w:val="fr-CA"/>
        </w:rPr>
      </w:pPr>
      <w:bookmarkStart w:id="113" w:name="_Ref448380556"/>
      <w:r w:rsidRPr="0059083D">
        <w:rPr>
          <w:lang w:val="fr-CA"/>
        </w:rPr>
        <w:t xml:space="preserve">Si, conformément au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_Ref448380548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w:t>
      </w:r>
      <w:r w:rsidR="000B08F2" w:rsidRPr="00986BEB">
        <w:rPr>
          <w:u w:val="single"/>
          <w:lang w:val="fr-CA"/>
        </w:rPr>
        <w:fldChar w:fldCharType="end"/>
      </w:r>
      <w:r w:rsidR="000B08F2" w:rsidRPr="0059083D">
        <w:rPr>
          <w:lang w:val="fr-CA"/>
        </w:rPr>
        <w:t xml:space="preserve">, </w:t>
      </w:r>
      <w:r w:rsidRPr="0059083D">
        <w:rPr>
          <w:lang w:val="fr-CA"/>
        </w:rPr>
        <w:t>les</w:t>
      </w:r>
      <w:r w:rsidR="000B08F2" w:rsidRPr="0059083D">
        <w:rPr>
          <w:lang w:val="fr-CA"/>
        </w:rPr>
        <w:t xml:space="preserve"> </w:t>
      </w:r>
      <w:r w:rsidR="00E043C9" w:rsidRPr="0059083D">
        <w:rPr>
          <w:lang w:val="fr-CA"/>
        </w:rPr>
        <w:t>Porteurs demandeurs</w:t>
      </w:r>
      <w:r w:rsidRPr="0059083D">
        <w:rPr>
          <w:lang w:val="fr-CA"/>
        </w:rPr>
        <w:t xml:space="preserve"> ont l’intention de placer </w:t>
      </w:r>
      <w:r w:rsidR="000B08F2" w:rsidRPr="0059083D">
        <w:rPr>
          <w:lang w:val="fr-CA"/>
        </w:rPr>
        <w:t xml:space="preserve">les </w:t>
      </w:r>
      <w:r w:rsidRPr="0059083D">
        <w:rPr>
          <w:lang w:val="fr-CA"/>
        </w:rPr>
        <w:t>Titres à inscrire</w:t>
      </w:r>
      <w:r w:rsidR="000B08F2" w:rsidRPr="0059083D">
        <w:rPr>
          <w:lang w:val="fr-CA"/>
        </w:rPr>
        <w:t xml:space="preserve"> </w:t>
      </w:r>
      <w:r w:rsidRPr="0059083D">
        <w:rPr>
          <w:lang w:val="fr-CA"/>
        </w:rPr>
        <w:t>visés par leur demande par voie de prise ferme</w:t>
      </w:r>
      <w:r w:rsidR="000B08F2" w:rsidRPr="0059083D">
        <w:rPr>
          <w:lang w:val="fr-CA"/>
        </w:rPr>
        <w:t xml:space="preserve">, </w:t>
      </w:r>
      <w:r w:rsidRPr="0059083D">
        <w:rPr>
          <w:lang w:val="fr-CA"/>
        </w:rPr>
        <w:t>ils en avise</w:t>
      </w:r>
      <w:r w:rsidR="0058663F">
        <w:rPr>
          <w:lang w:val="fr-CA"/>
        </w:rPr>
        <w:t>nt</w:t>
      </w:r>
      <w:r w:rsidRPr="0059083D">
        <w:rPr>
          <w:lang w:val="fr-CA"/>
        </w:rPr>
        <w:t xml:space="preserve"> </w:t>
      </w:r>
      <w:r w:rsidR="000B08F2" w:rsidRPr="0059083D">
        <w:rPr>
          <w:lang w:val="fr-CA"/>
        </w:rPr>
        <w:t xml:space="preserve">la Société </w:t>
      </w:r>
      <w:r w:rsidRPr="0059083D">
        <w:rPr>
          <w:lang w:val="fr-CA"/>
        </w:rPr>
        <w:t xml:space="preserve">dans leur demande présentée conformément </w:t>
      </w:r>
      <w:r w:rsidR="00D03A83">
        <w:rPr>
          <w:lang w:val="fr-CA"/>
        </w:rPr>
        <w:t xml:space="preserve">au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_Ref448380548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w:t>
      </w:r>
      <w:r w:rsidR="000B08F2" w:rsidRPr="00986BEB">
        <w:rPr>
          <w:u w:val="single"/>
          <w:lang w:val="fr-CA"/>
        </w:rPr>
        <w:fldChar w:fldCharType="end"/>
      </w:r>
      <w:r w:rsidR="000B08F2" w:rsidRPr="0059083D">
        <w:rPr>
          <w:lang w:val="fr-CA"/>
        </w:rPr>
        <w:t xml:space="preserve">, </w:t>
      </w:r>
      <w:r w:rsidRPr="0059083D">
        <w:rPr>
          <w:lang w:val="fr-CA"/>
        </w:rPr>
        <w:t xml:space="preserve">et </w:t>
      </w:r>
      <w:r w:rsidR="000B08F2" w:rsidRPr="0059083D">
        <w:rPr>
          <w:lang w:val="fr-CA"/>
        </w:rPr>
        <w:t xml:space="preserve">la Société </w:t>
      </w:r>
      <w:r w:rsidRPr="0059083D">
        <w:rPr>
          <w:lang w:val="fr-CA"/>
        </w:rPr>
        <w:t>inclu</w:t>
      </w:r>
      <w:r w:rsidR="0058663F">
        <w:rPr>
          <w:lang w:val="fr-CA"/>
        </w:rPr>
        <w:t>t</w:t>
      </w:r>
      <w:r w:rsidRPr="0059083D">
        <w:rPr>
          <w:lang w:val="fr-CA"/>
        </w:rPr>
        <w:t xml:space="preserve"> ces renseignements dans l’Avis de demande</w:t>
      </w:r>
      <w:r w:rsidR="000B08F2" w:rsidRPr="0059083D">
        <w:rPr>
          <w:lang w:val="fr-CA"/>
        </w:rPr>
        <w:t xml:space="preserve">. </w:t>
      </w:r>
      <w:r w:rsidRPr="0059083D">
        <w:rPr>
          <w:lang w:val="fr-CA"/>
        </w:rPr>
        <w:t>Le ou les preneurs ferme</w:t>
      </w:r>
      <w:bookmarkStart w:id="114" w:name="DocXTextRef79"/>
      <w:r w:rsidR="000B08F2" w:rsidRPr="0059083D">
        <w:rPr>
          <w:szCs w:val="16"/>
          <w:lang w:val="fr-CA"/>
        </w:rPr>
        <w:t>s</w:t>
      </w:r>
      <w:bookmarkEnd w:id="114"/>
      <w:r w:rsidRPr="0059083D">
        <w:rPr>
          <w:szCs w:val="16"/>
          <w:lang w:val="fr-CA"/>
        </w:rPr>
        <w:t xml:space="preserve"> seront choisis par </w:t>
      </w:r>
      <w:r w:rsidR="000B08F2" w:rsidRPr="0059083D">
        <w:rPr>
          <w:lang w:val="fr-CA"/>
        </w:rPr>
        <w:t>[[</w:t>
      </w:r>
      <w:r w:rsidRPr="0059083D">
        <w:rPr>
          <w:lang w:val="fr-CA"/>
        </w:rPr>
        <w:t>la Société</w:t>
      </w:r>
      <w:r w:rsidR="000B08F2" w:rsidRPr="0059083D">
        <w:rPr>
          <w:lang w:val="fr-CA"/>
        </w:rPr>
        <w:t>] [</w:t>
      </w:r>
      <w:r w:rsidRPr="0059083D">
        <w:rPr>
          <w:lang w:val="fr-CA"/>
        </w:rPr>
        <w:t>le Conseil d’administration</w:t>
      </w:r>
      <w:r w:rsidR="000B08F2" w:rsidRPr="0059083D">
        <w:rPr>
          <w:lang w:val="fr-CA"/>
        </w:rPr>
        <w:t xml:space="preserve">] </w:t>
      </w:r>
      <w:r w:rsidRPr="0059083D">
        <w:rPr>
          <w:lang w:val="fr-CA"/>
        </w:rPr>
        <w:t>et doivent être jugés raisonnablement acceptables par les Porteurs demandeurs détenant une participation majoritaire</w:t>
      </w:r>
      <w:r w:rsidR="000B08F2" w:rsidRPr="0059083D">
        <w:rPr>
          <w:lang w:val="fr-CA"/>
        </w:rPr>
        <w:t>]</w:t>
      </w:r>
      <w:r w:rsidRPr="0059083D">
        <w:rPr>
          <w:lang w:val="fr-CA"/>
        </w:rPr>
        <w:t xml:space="preserve"> </w:t>
      </w:r>
      <w:r w:rsidR="000B08F2" w:rsidRPr="0059083D">
        <w:rPr>
          <w:lang w:val="fr-CA"/>
        </w:rPr>
        <w:t>[</w:t>
      </w:r>
      <w:r w:rsidRPr="0059083D">
        <w:rPr>
          <w:i/>
          <w:szCs w:val="16"/>
          <w:lang w:val="fr-CA"/>
        </w:rPr>
        <w:t>Variante </w:t>
      </w:r>
      <w:r w:rsidR="000B08F2" w:rsidRPr="0059083D">
        <w:rPr>
          <w:i/>
          <w:szCs w:val="16"/>
          <w:lang w:val="fr-CA"/>
        </w:rPr>
        <w:t>:</w:t>
      </w:r>
      <w:r w:rsidR="000B08F2" w:rsidRPr="0059083D">
        <w:rPr>
          <w:iCs/>
          <w:szCs w:val="16"/>
          <w:lang w:val="fr-CA"/>
        </w:rPr>
        <w:t xml:space="preserve"> </w:t>
      </w:r>
      <w:r w:rsidRPr="0059083D">
        <w:rPr>
          <w:iCs/>
          <w:szCs w:val="16"/>
          <w:lang w:val="fr-CA"/>
        </w:rPr>
        <w:t xml:space="preserve">par </w:t>
      </w:r>
      <w:r w:rsidRPr="0059083D">
        <w:rPr>
          <w:lang w:val="fr-CA"/>
        </w:rPr>
        <w:t xml:space="preserve">les </w:t>
      </w:r>
      <w:r w:rsidR="00E043C9" w:rsidRPr="0059083D">
        <w:rPr>
          <w:lang w:val="fr-CA"/>
        </w:rPr>
        <w:t>Porteurs demandeurs</w:t>
      </w:r>
      <w:r w:rsidR="000B08F2" w:rsidRPr="0059083D">
        <w:rPr>
          <w:lang w:val="fr-CA"/>
        </w:rPr>
        <w:t xml:space="preserve">, </w:t>
      </w:r>
      <w:r w:rsidRPr="0059083D">
        <w:rPr>
          <w:lang w:val="fr-CA"/>
        </w:rPr>
        <w:t xml:space="preserve">sous réserve uniquement de l’approbation raisonnable </w:t>
      </w:r>
      <w:r w:rsidR="000B08F2" w:rsidRPr="0059083D">
        <w:rPr>
          <w:lang w:val="fr-CA"/>
        </w:rPr>
        <w:t>[</w:t>
      </w:r>
      <w:r w:rsidR="00D21ACF">
        <w:rPr>
          <w:lang w:val="fr-CA"/>
        </w:rPr>
        <w:t xml:space="preserve">de </w:t>
      </w:r>
      <w:r w:rsidRPr="0059083D">
        <w:rPr>
          <w:lang w:val="fr-CA"/>
        </w:rPr>
        <w:t>la Société</w:t>
      </w:r>
      <w:r w:rsidR="000B08F2" w:rsidRPr="0059083D">
        <w:rPr>
          <w:lang w:val="fr-CA"/>
        </w:rPr>
        <w:t>] [</w:t>
      </w:r>
      <w:r w:rsidRPr="0059083D">
        <w:rPr>
          <w:lang w:val="fr-CA"/>
        </w:rPr>
        <w:t>du Conseil d’administration</w:t>
      </w:r>
      <w:r w:rsidR="000B08F2" w:rsidRPr="0059083D">
        <w:rPr>
          <w:lang w:val="fr-CA"/>
        </w:rPr>
        <w:t xml:space="preserve">]. </w:t>
      </w:r>
      <w:r w:rsidRPr="0059083D">
        <w:rPr>
          <w:lang w:val="fr-CA"/>
        </w:rPr>
        <w:t>Dans ce cas, le droit d’un Porteur</w:t>
      </w:r>
      <w:r w:rsidR="000B08F2" w:rsidRPr="0059083D">
        <w:rPr>
          <w:lang w:val="fr-CA"/>
        </w:rPr>
        <w:t xml:space="preserve"> </w:t>
      </w:r>
      <w:r w:rsidRPr="0059083D">
        <w:rPr>
          <w:lang w:val="fr-CA"/>
        </w:rPr>
        <w:t>d’inclure ses Titres à inscrire</w:t>
      </w:r>
      <w:r w:rsidR="000B08F2" w:rsidRPr="0059083D">
        <w:rPr>
          <w:lang w:val="fr-CA"/>
        </w:rPr>
        <w:t xml:space="preserve"> </w:t>
      </w:r>
      <w:r w:rsidRPr="0059083D">
        <w:rPr>
          <w:lang w:val="fr-CA"/>
        </w:rPr>
        <w:t>dans une inscription est conditionnel à sa participation à la prise ferme et à l’inclusion de ses Titres à inscrire</w:t>
      </w:r>
      <w:r w:rsidR="000B08F2" w:rsidRPr="0059083D">
        <w:rPr>
          <w:lang w:val="fr-CA"/>
        </w:rPr>
        <w:t xml:space="preserve"> </w:t>
      </w:r>
      <w:r w:rsidRPr="0059083D">
        <w:rPr>
          <w:lang w:val="fr-CA"/>
        </w:rPr>
        <w:t>dans la prise ferme dans la mesure prévue aux présentes</w:t>
      </w:r>
      <w:r w:rsidR="000B08F2" w:rsidRPr="0059083D">
        <w:rPr>
          <w:lang w:val="fr-CA"/>
        </w:rPr>
        <w:t xml:space="preserve">. </w:t>
      </w:r>
      <w:r w:rsidRPr="0059083D">
        <w:rPr>
          <w:lang w:val="fr-CA"/>
        </w:rPr>
        <w:t xml:space="preserve">Tous les </w:t>
      </w:r>
      <w:r w:rsidR="00E043C9" w:rsidRPr="0059083D">
        <w:rPr>
          <w:lang w:val="fr-CA"/>
        </w:rPr>
        <w:t>Porteurs</w:t>
      </w:r>
      <w:r w:rsidR="000B08F2" w:rsidRPr="0059083D">
        <w:rPr>
          <w:lang w:val="fr-CA"/>
        </w:rPr>
        <w:t xml:space="preserve"> </w:t>
      </w:r>
      <w:r w:rsidRPr="0059083D">
        <w:rPr>
          <w:lang w:val="fr-CA"/>
        </w:rPr>
        <w:t xml:space="preserve">qui proposent de placer leurs titres dans le cadre d’une telle prise ferme doivent </w:t>
      </w:r>
      <w:r w:rsidR="000B08F2" w:rsidRPr="0059083D">
        <w:rPr>
          <w:lang w:val="fr-CA"/>
        </w:rPr>
        <w:t>(</w:t>
      </w:r>
      <w:r w:rsidRPr="0059083D">
        <w:rPr>
          <w:lang w:val="fr-CA"/>
        </w:rPr>
        <w:t xml:space="preserve">avec </w:t>
      </w:r>
      <w:r w:rsidR="000B08F2" w:rsidRPr="0059083D">
        <w:rPr>
          <w:lang w:val="fr-CA"/>
        </w:rPr>
        <w:t xml:space="preserve">la Société </w:t>
      </w:r>
      <w:r w:rsidR="00D21ACF">
        <w:rPr>
          <w:lang w:val="fr-CA"/>
        </w:rPr>
        <w:t>ainsi qu’</w:t>
      </w:r>
      <w:r w:rsidRPr="0059083D">
        <w:rPr>
          <w:lang w:val="fr-CA"/>
        </w:rPr>
        <w:t>il est prévu à l’</w:t>
      </w:r>
      <w:r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_Ref448380564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2.4e)</w:t>
      </w:r>
      <w:r w:rsidR="000B08F2" w:rsidRPr="00986BEB">
        <w:rPr>
          <w:u w:val="single"/>
          <w:lang w:val="fr-CA"/>
        </w:rPr>
        <w:fldChar w:fldCharType="end"/>
      </w:r>
      <w:r w:rsidR="000B08F2" w:rsidRPr="0059083D">
        <w:rPr>
          <w:lang w:val="fr-CA"/>
        </w:rPr>
        <w:t xml:space="preserve">) </w:t>
      </w:r>
      <w:r w:rsidRPr="0059083D">
        <w:rPr>
          <w:lang w:val="fr-CA"/>
        </w:rPr>
        <w:t>conclure une convention de prise ferme dans la forme habituelle avec le ou les preneurs fermes choisis pour l’opération</w:t>
      </w:r>
      <w:bookmarkStart w:id="115" w:name="_cp_text_1_65"/>
      <w:r w:rsidR="002C530F" w:rsidRPr="0059083D">
        <w:rPr>
          <w:szCs w:val="24"/>
          <w:lang w:val="fr-CA"/>
        </w:rPr>
        <w:t xml:space="preserve">[; </w:t>
      </w:r>
      <w:r w:rsidRPr="0059083D">
        <w:rPr>
          <w:szCs w:val="24"/>
          <w:u w:val="single"/>
          <w:lang w:val="fr-CA"/>
        </w:rPr>
        <w:t>il est entendu</w:t>
      </w:r>
      <w:r w:rsidR="002C530F" w:rsidRPr="0059083D">
        <w:rPr>
          <w:szCs w:val="24"/>
          <w:lang w:val="fr-CA"/>
        </w:rPr>
        <w:t xml:space="preserve">, </w:t>
      </w:r>
      <w:r w:rsidRPr="0059083D">
        <w:rPr>
          <w:szCs w:val="24"/>
          <w:u w:val="single"/>
          <w:lang w:val="fr-CA"/>
        </w:rPr>
        <w:t>toutefois</w:t>
      </w:r>
      <w:r w:rsidR="002C530F" w:rsidRPr="0059083D">
        <w:rPr>
          <w:szCs w:val="24"/>
          <w:lang w:val="fr-CA"/>
        </w:rPr>
        <w:t xml:space="preserve">, </w:t>
      </w:r>
      <w:r w:rsidRPr="0059083D">
        <w:rPr>
          <w:szCs w:val="24"/>
          <w:lang w:val="fr-CA"/>
        </w:rPr>
        <w:t>qu’aucun Porteur</w:t>
      </w:r>
      <w:r w:rsidR="002C530F" w:rsidRPr="0059083D">
        <w:rPr>
          <w:szCs w:val="24"/>
          <w:lang w:val="fr-CA"/>
        </w:rPr>
        <w:t xml:space="preserve"> (</w:t>
      </w:r>
      <w:r w:rsidRPr="0059083D">
        <w:rPr>
          <w:szCs w:val="24"/>
          <w:lang w:val="fr-CA"/>
        </w:rPr>
        <w:t>ni aucun cessionnaire d’un Porteur</w:t>
      </w:r>
      <w:r w:rsidR="002C530F" w:rsidRPr="0059083D">
        <w:rPr>
          <w:szCs w:val="24"/>
          <w:lang w:val="fr-CA"/>
        </w:rPr>
        <w:t xml:space="preserve">) </w:t>
      </w:r>
      <w:r w:rsidRPr="0059083D">
        <w:rPr>
          <w:szCs w:val="24"/>
          <w:lang w:val="fr-CA"/>
        </w:rPr>
        <w:t xml:space="preserve">n’est tenu de faire </w:t>
      </w:r>
      <w:r w:rsidR="00B51435">
        <w:rPr>
          <w:szCs w:val="24"/>
          <w:lang w:val="fr-CA"/>
        </w:rPr>
        <w:t xml:space="preserve">quelque </w:t>
      </w:r>
      <w:r w:rsidRPr="0059083D">
        <w:rPr>
          <w:szCs w:val="24"/>
          <w:lang w:val="fr-CA"/>
        </w:rPr>
        <w:t xml:space="preserve">déclaration, de donner </w:t>
      </w:r>
      <w:r w:rsidR="00B51435">
        <w:rPr>
          <w:szCs w:val="24"/>
          <w:lang w:val="fr-CA"/>
        </w:rPr>
        <w:t xml:space="preserve">quelque </w:t>
      </w:r>
      <w:r w:rsidRPr="0059083D">
        <w:rPr>
          <w:szCs w:val="24"/>
          <w:lang w:val="fr-CA"/>
        </w:rPr>
        <w:t xml:space="preserve">garantie ou d’accorder </w:t>
      </w:r>
      <w:r w:rsidR="00B51435">
        <w:rPr>
          <w:szCs w:val="24"/>
          <w:lang w:val="fr-CA"/>
        </w:rPr>
        <w:t xml:space="preserve">quelque </w:t>
      </w:r>
      <w:r w:rsidRPr="0059083D">
        <w:rPr>
          <w:szCs w:val="24"/>
          <w:lang w:val="fr-CA"/>
        </w:rPr>
        <w:t>indemnité</w:t>
      </w:r>
      <w:r w:rsidR="00B51435">
        <w:rPr>
          <w:szCs w:val="24"/>
          <w:lang w:val="fr-CA"/>
        </w:rPr>
        <w:t xml:space="preserve"> que ce soit</w:t>
      </w:r>
      <w:r w:rsidR="00A849D9">
        <w:rPr>
          <w:szCs w:val="24"/>
          <w:lang w:val="fr-CA"/>
        </w:rPr>
        <w:t>,</w:t>
      </w:r>
      <w:r w:rsidR="00B51435">
        <w:rPr>
          <w:szCs w:val="24"/>
          <w:lang w:val="fr-CA"/>
        </w:rPr>
        <w:t xml:space="preserve"> </w:t>
      </w:r>
      <w:r w:rsidRPr="0059083D">
        <w:rPr>
          <w:szCs w:val="24"/>
          <w:lang w:val="fr-CA"/>
        </w:rPr>
        <w:t xml:space="preserve">sauf en ce qui concerne </w:t>
      </w:r>
      <w:r w:rsidR="00B51435">
        <w:rPr>
          <w:szCs w:val="24"/>
          <w:lang w:val="fr-CA"/>
        </w:rPr>
        <w:t>les actions dont il est propriét</w:t>
      </w:r>
      <w:r w:rsidR="0058663F">
        <w:rPr>
          <w:szCs w:val="24"/>
          <w:lang w:val="fr-CA"/>
        </w:rPr>
        <w:t>aire</w:t>
      </w:r>
      <w:r w:rsidR="00B51435">
        <w:rPr>
          <w:szCs w:val="24"/>
          <w:lang w:val="fr-CA"/>
        </w:rPr>
        <w:t xml:space="preserve">, </w:t>
      </w:r>
      <w:r w:rsidRPr="0059083D">
        <w:rPr>
          <w:szCs w:val="24"/>
          <w:lang w:val="fr-CA"/>
        </w:rPr>
        <w:t xml:space="preserve">son pouvoir de conclure la convention de prise ferme et le mode de placement qu’il </w:t>
      </w:r>
      <w:bookmarkStart w:id="116" w:name="_cp_text_4_66"/>
      <w:bookmarkEnd w:id="115"/>
      <w:r w:rsidR="0058663F">
        <w:rPr>
          <w:szCs w:val="24"/>
          <w:lang w:val="fr-CA"/>
        </w:rPr>
        <w:t>compte utiliser</w:t>
      </w:r>
      <w:r w:rsidR="002C530F" w:rsidRPr="0059083D">
        <w:rPr>
          <w:szCs w:val="24"/>
          <w:lang w:val="fr-CA"/>
        </w:rPr>
        <w:t xml:space="preserve">, </w:t>
      </w:r>
      <w:r w:rsidRPr="0059083D">
        <w:rPr>
          <w:szCs w:val="24"/>
          <w:lang w:val="fr-CA"/>
        </w:rPr>
        <w:t xml:space="preserve">et </w:t>
      </w:r>
      <w:r w:rsidR="0058663F">
        <w:rPr>
          <w:szCs w:val="24"/>
          <w:lang w:val="fr-CA"/>
        </w:rPr>
        <w:t xml:space="preserve">que </w:t>
      </w:r>
      <w:r w:rsidRPr="0059083D">
        <w:rPr>
          <w:szCs w:val="24"/>
          <w:lang w:val="fr-CA"/>
        </w:rPr>
        <w:t xml:space="preserve">la responsabilité de ce </w:t>
      </w:r>
      <w:bookmarkStart w:id="117" w:name="_cp_text_1_67"/>
      <w:bookmarkEnd w:id="116"/>
      <w:r w:rsidRPr="0059083D">
        <w:rPr>
          <w:szCs w:val="24"/>
          <w:lang w:val="fr-CA"/>
        </w:rPr>
        <w:t>Porteur</w:t>
      </w:r>
      <w:r w:rsidR="002C530F" w:rsidRPr="0059083D">
        <w:rPr>
          <w:szCs w:val="24"/>
          <w:lang w:val="fr-CA"/>
        </w:rPr>
        <w:t xml:space="preserve"> </w:t>
      </w:r>
      <w:r w:rsidRPr="0059083D">
        <w:rPr>
          <w:szCs w:val="24"/>
          <w:lang w:val="fr-CA"/>
        </w:rPr>
        <w:t xml:space="preserve">est individuelle et non </w:t>
      </w:r>
      <w:r w:rsidR="00A849D9">
        <w:rPr>
          <w:szCs w:val="24"/>
          <w:lang w:val="fr-CA"/>
        </w:rPr>
        <w:t>solidaire</w:t>
      </w:r>
      <w:r w:rsidRPr="0059083D">
        <w:rPr>
          <w:szCs w:val="24"/>
          <w:lang w:val="fr-CA"/>
        </w:rPr>
        <w:t xml:space="preserve"> et se limite à un montant égal au produit net qu’il tirera du placement</w:t>
      </w:r>
      <w:r w:rsidR="002C530F" w:rsidRPr="0059083D">
        <w:rPr>
          <w:szCs w:val="24"/>
          <w:lang w:val="fr-CA"/>
        </w:rPr>
        <w:t>]</w:t>
      </w:r>
      <w:bookmarkEnd w:id="117"/>
      <w:r w:rsidR="000B08F2" w:rsidRPr="0059083D">
        <w:rPr>
          <w:lang w:val="fr-CA"/>
        </w:rPr>
        <w:t xml:space="preserve">. </w:t>
      </w:r>
      <w:r w:rsidRPr="0059083D">
        <w:rPr>
          <w:lang w:val="fr-CA"/>
        </w:rPr>
        <w:t xml:space="preserve">Malgré toute autre disposition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_Ref448380555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2.3</w:t>
      </w:r>
      <w:r w:rsidR="000B08F2" w:rsidRPr="00986BEB">
        <w:rPr>
          <w:u w:val="single"/>
          <w:lang w:val="fr-CA"/>
        </w:rPr>
        <w:fldChar w:fldCharType="end"/>
      </w:r>
      <w:r w:rsidR="000B08F2" w:rsidRPr="0059083D">
        <w:rPr>
          <w:lang w:val="fr-CA"/>
        </w:rPr>
        <w:t xml:space="preserve">, </w:t>
      </w:r>
      <w:r w:rsidRPr="0059083D">
        <w:rPr>
          <w:lang w:val="fr-CA"/>
        </w:rPr>
        <w:t xml:space="preserve">si le ou les preneurs fermes </w:t>
      </w:r>
      <w:r w:rsidR="000B08F2" w:rsidRPr="0059083D">
        <w:rPr>
          <w:lang w:val="fr-CA"/>
        </w:rPr>
        <w:t>[</w:t>
      </w:r>
      <w:r w:rsidRPr="0059083D">
        <w:rPr>
          <w:lang w:val="fr-CA"/>
        </w:rPr>
        <w:t>chefs de file</w:t>
      </w:r>
      <w:r w:rsidR="000B08F2" w:rsidRPr="0059083D">
        <w:rPr>
          <w:lang w:val="fr-CA"/>
        </w:rPr>
        <w:t xml:space="preserve">] </w:t>
      </w:r>
      <w:r w:rsidRPr="0059083D">
        <w:rPr>
          <w:lang w:val="fr-CA"/>
        </w:rPr>
        <w:t xml:space="preserve">avisent les </w:t>
      </w:r>
      <w:r w:rsidR="00E043C9" w:rsidRPr="0059083D">
        <w:rPr>
          <w:lang w:val="fr-CA"/>
        </w:rPr>
        <w:t>Porteurs demandeurs</w:t>
      </w:r>
      <w:r w:rsidR="000B08F2" w:rsidRPr="0059083D">
        <w:rPr>
          <w:lang w:val="fr-CA"/>
        </w:rPr>
        <w:t xml:space="preserve"> </w:t>
      </w:r>
      <w:r w:rsidRPr="0059083D">
        <w:rPr>
          <w:lang w:val="fr-CA"/>
        </w:rPr>
        <w:t>par écrit que le nombre d’actions pouvant faire l’objet de la prise ferme doit être limité en raison de facteurs de commercialisation</w:t>
      </w:r>
      <w:r w:rsidR="000B08F2" w:rsidRPr="0059083D">
        <w:rPr>
          <w:lang w:val="fr-CA"/>
        </w:rPr>
        <w:t xml:space="preserve">, </w:t>
      </w:r>
      <w:r w:rsidRPr="0059083D">
        <w:rPr>
          <w:lang w:val="fr-CA"/>
        </w:rPr>
        <w:t xml:space="preserve">alors les </w:t>
      </w:r>
      <w:r w:rsidR="00E043C9" w:rsidRPr="0059083D">
        <w:rPr>
          <w:lang w:val="fr-CA"/>
        </w:rPr>
        <w:t>Porteurs demandeurs</w:t>
      </w:r>
      <w:r w:rsidR="000B08F2" w:rsidRPr="0059083D">
        <w:rPr>
          <w:lang w:val="fr-CA"/>
        </w:rPr>
        <w:t xml:space="preserve"> </w:t>
      </w:r>
      <w:r w:rsidRPr="0059083D">
        <w:rPr>
          <w:lang w:val="fr-CA"/>
        </w:rPr>
        <w:t>en avise</w:t>
      </w:r>
      <w:r w:rsidR="0058663F">
        <w:rPr>
          <w:lang w:val="fr-CA"/>
        </w:rPr>
        <w:t>nt</w:t>
      </w:r>
      <w:r w:rsidRPr="0059083D">
        <w:rPr>
          <w:lang w:val="fr-CA"/>
        </w:rPr>
        <w:t xml:space="preserve"> tous les </w:t>
      </w:r>
      <w:r w:rsidR="00E043C9" w:rsidRPr="0059083D">
        <w:rPr>
          <w:lang w:val="fr-CA"/>
        </w:rPr>
        <w:t>Porteurs</w:t>
      </w:r>
      <w:r w:rsidR="000B08F2" w:rsidRPr="0059083D">
        <w:rPr>
          <w:lang w:val="fr-CA"/>
        </w:rPr>
        <w:t xml:space="preserve"> </w:t>
      </w:r>
      <w:r w:rsidRPr="0059083D">
        <w:rPr>
          <w:lang w:val="fr-CA"/>
        </w:rPr>
        <w:t>de</w:t>
      </w:r>
      <w:r w:rsidR="000B08F2" w:rsidRPr="0059083D">
        <w:rPr>
          <w:lang w:val="fr-CA"/>
        </w:rPr>
        <w:t xml:space="preserve"> </w:t>
      </w:r>
      <w:r w:rsidRPr="0059083D">
        <w:rPr>
          <w:lang w:val="fr-CA"/>
        </w:rPr>
        <w:t>Titres à inscrire</w:t>
      </w:r>
      <w:r w:rsidR="000B08F2" w:rsidRPr="0059083D">
        <w:rPr>
          <w:lang w:val="fr-CA"/>
        </w:rPr>
        <w:t xml:space="preserve"> </w:t>
      </w:r>
      <w:r w:rsidRPr="0059083D">
        <w:rPr>
          <w:lang w:val="fr-CA"/>
        </w:rPr>
        <w:t>qui auraient par ailleurs fait l’objet de la prise ferme aux termes des présentes, et le nombre de Titres à inscrire</w:t>
      </w:r>
      <w:r w:rsidR="000B08F2" w:rsidRPr="0059083D">
        <w:rPr>
          <w:lang w:val="fr-CA"/>
        </w:rPr>
        <w:t xml:space="preserve"> </w:t>
      </w:r>
      <w:r w:rsidRPr="0059083D">
        <w:rPr>
          <w:lang w:val="fr-CA"/>
        </w:rPr>
        <w:t xml:space="preserve">qui peuvent faire l’objet de la prise ferme est réparti entre ces </w:t>
      </w:r>
      <w:r w:rsidR="00E043C9" w:rsidRPr="0059083D">
        <w:rPr>
          <w:lang w:val="fr-CA"/>
        </w:rPr>
        <w:t>Porteurs</w:t>
      </w:r>
      <w:r w:rsidR="000B08F2" w:rsidRPr="0059083D">
        <w:rPr>
          <w:lang w:val="fr-CA"/>
        </w:rPr>
        <w:t xml:space="preserve"> </w:t>
      </w:r>
      <w:r w:rsidRPr="0059083D">
        <w:rPr>
          <w:lang w:val="fr-CA"/>
        </w:rPr>
        <w:t>de</w:t>
      </w:r>
      <w:r w:rsidR="000B08F2" w:rsidRPr="0059083D">
        <w:rPr>
          <w:lang w:val="fr-CA"/>
        </w:rPr>
        <w:t xml:space="preserve"> </w:t>
      </w:r>
      <w:r w:rsidRPr="0059083D">
        <w:rPr>
          <w:lang w:val="fr-CA"/>
        </w:rPr>
        <w:t>Titres à inscrire</w:t>
      </w:r>
      <w:r w:rsidR="000B08F2" w:rsidRPr="0059083D">
        <w:rPr>
          <w:lang w:val="fr-CA"/>
        </w:rPr>
        <w:t xml:space="preserve">, </w:t>
      </w:r>
      <w:r w:rsidRPr="0059083D">
        <w:rPr>
          <w:lang w:val="fr-CA"/>
        </w:rPr>
        <w:t xml:space="preserve">y compris les </w:t>
      </w:r>
      <w:r w:rsidR="00E043C9" w:rsidRPr="0059083D">
        <w:rPr>
          <w:lang w:val="fr-CA"/>
        </w:rPr>
        <w:t>Porteurs demandeurs</w:t>
      </w:r>
      <w:r w:rsidR="000B08F2" w:rsidRPr="0059083D">
        <w:rPr>
          <w:lang w:val="fr-CA"/>
        </w:rPr>
        <w:t xml:space="preserve">, </w:t>
      </w:r>
      <w:r w:rsidRPr="0059083D">
        <w:rPr>
          <w:lang w:val="fr-CA"/>
        </w:rPr>
        <w:t xml:space="preserve">au prorata </w:t>
      </w:r>
      <w:r w:rsidR="000B08F2" w:rsidRPr="0059083D">
        <w:rPr>
          <w:lang w:val="fr-CA"/>
        </w:rPr>
        <w:t>(</w:t>
      </w:r>
      <w:r w:rsidRPr="0059083D">
        <w:rPr>
          <w:lang w:val="fr-CA"/>
        </w:rPr>
        <w:t>autant que possible</w:t>
      </w:r>
      <w:r w:rsidR="000B08F2" w:rsidRPr="0059083D">
        <w:rPr>
          <w:lang w:val="fr-CA"/>
        </w:rPr>
        <w:t xml:space="preserve">) </w:t>
      </w:r>
      <w:r w:rsidRPr="0059083D">
        <w:rPr>
          <w:lang w:val="fr-CA"/>
        </w:rPr>
        <w:t>du nombre de Titres à inscrire</w:t>
      </w:r>
      <w:r w:rsidR="000B08F2" w:rsidRPr="0059083D">
        <w:rPr>
          <w:lang w:val="fr-CA"/>
        </w:rPr>
        <w:t xml:space="preserve"> </w:t>
      </w:r>
      <w:r w:rsidRPr="0059083D">
        <w:rPr>
          <w:lang w:val="fr-CA"/>
        </w:rPr>
        <w:t>dont chaque Porteur</w:t>
      </w:r>
      <w:r w:rsidR="000B08F2" w:rsidRPr="0059083D">
        <w:rPr>
          <w:lang w:val="fr-CA"/>
        </w:rPr>
        <w:t xml:space="preserve"> </w:t>
      </w:r>
      <w:r w:rsidRPr="0059083D">
        <w:rPr>
          <w:lang w:val="fr-CA"/>
        </w:rPr>
        <w:t xml:space="preserve">est propriétaire ou selon </w:t>
      </w:r>
      <w:r w:rsidR="00354D83">
        <w:rPr>
          <w:lang w:val="fr-CA"/>
        </w:rPr>
        <w:t>une</w:t>
      </w:r>
      <w:r w:rsidRPr="0059083D">
        <w:rPr>
          <w:lang w:val="fr-CA"/>
        </w:rPr>
        <w:t xml:space="preserve"> autre proportion </w:t>
      </w:r>
      <w:r w:rsidR="00354D83">
        <w:rPr>
          <w:lang w:val="fr-CA"/>
        </w:rPr>
        <w:t xml:space="preserve">déterminée d’un commun accord entre </w:t>
      </w:r>
      <w:r w:rsidRPr="0059083D">
        <w:rPr>
          <w:lang w:val="fr-CA"/>
        </w:rPr>
        <w:t>tous ces Porteurs vendeurs</w:t>
      </w:r>
      <w:r w:rsidR="000B08F2" w:rsidRPr="0059083D">
        <w:rPr>
          <w:lang w:val="fr-CA"/>
        </w:rPr>
        <w:t xml:space="preserve">; </w:t>
      </w:r>
      <w:r w:rsidRPr="0059083D">
        <w:rPr>
          <w:u w:val="single"/>
          <w:lang w:val="fr-CA"/>
        </w:rPr>
        <w:t>il est entendu</w:t>
      </w:r>
      <w:r w:rsidR="000B08F2" w:rsidRPr="0059083D">
        <w:rPr>
          <w:lang w:val="fr-CA"/>
        </w:rPr>
        <w:t xml:space="preserve">, </w:t>
      </w:r>
      <w:r w:rsidRPr="0059083D">
        <w:rPr>
          <w:u w:val="single"/>
          <w:lang w:val="fr-CA"/>
        </w:rPr>
        <w:t>toutefois</w:t>
      </w:r>
      <w:r w:rsidR="000B08F2" w:rsidRPr="0059083D">
        <w:rPr>
          <w:lang w:val="fr-CA"/>
        </w:rPr>
        <w:t xml:space="preserve">, </w:t>
      </w:r>
      <w:r w:rsidRPr="0059083D">
        <w:rPr>
          <w:lang w:val="fr-CA"/>
        </w:rPr>
        <w:t>que le nombre de Titres à inscrire</w:t>
      </w:r>
      <w:r w:rsidR="000B08F2" w:rsidRPr="0059083D">
        <w:rPr>
          <w:lang w:val="fr-CA"/>
        </w:rPr>
        <w:t xml:space="preserve"> </w:t>
      </w:r>
      <w:r w:rsidRPr="0059083D">
        <w:rPr>
          <w:lang w:val="fr-CA"/>
        </w:rPr>
        <w:t xml:space="preserve">détenus par les </w:t>
      </w:r>
      <w:r w:rsidR="00E043C9" w:rsidRPr="0059083D">
        <w:rPr>
          <w:lang w:val="fr-CA"/>
        </w:rPr>
        <w:t>Porteurs</w:t>
      </w:r>
      <w:r w:rsidR="000B08F2" w:rsidRPr="0059083D">
        <w:rPr>
          <w:lang w:val="fr-CA"/>
        </w:rPr>
        <w:t xml:space="preserve"> </w:t>
      </w:r>
      <w:r w:rsidRPr="0059083D">
        <w:rPr>
          <w:lang w:val="fr-CA"/>
        </w:rPr>
        <w:t xml:space="preserve">qui doivent </w:t>
      </w:r>
      <w:r w:rsidR="00A849D9">
        <w:rPr>
          <w:lang w:val="fr-CA"/>
        </w:rPr>
        <w:t>être inclus dans</w:t>
      </w:r>
      <w:r w:rsidRPr="0059083D">
        <w:rPr>
          <w:lang w:val="fr-CA"/>
        </w:rPr>
        <w:t xml:space="preserve"> la prise ferme ne sera réduit que si tous les autres titres sont d’abord entièrement exclus de la prise ferme</w:t>
      </w:r>
      <w:r w:rsidR="000B08F2" w:rsidRPr="0059083D">
        <w:rPr>
          <w:lang w:val="fr-CA"/>
        </w:rPr>
        <w:t>. [</w:t>
      </w:r>
      <w:r w:rsidRPr="0059083D">
        <w:rPr>
          <w:lang w:val="fr-CA"/>
        </w:rPr>
        <w:t>Pour faciliter la répartition des actions conformément aux dispositions énoncées ci-dessus</w:t>
      </w:r>
      <w:r w:rsidR="000B08F2" w:rsidRPr="0059083D">
        <w:rPr>
          <w:lang w:val="fr-CA"/>
        </w:rPr>
        <w:t xml:space="preserve">, la Société </w:t>
      </w:r>
      <w:r w:rsidRPr="0059083D">
        <w:rPr>
          <w:lang w:val="fr-CA"/>
        </w:rPr>
        <w:t>ou les preneurs fermes peuvent arrondir le nombre d’actions attribuées à un Porteur</w:t>
      </w:r>
      <w:r w:rsidR="000B08F2" w:rsidRPr="0059083D">
        <w:rPr>
          <w:lang w:val="fr-CA"/>
        </w:rPr>
        <w:t xml:space="preserve"> </w:t>
      </w:r>
      <w:r w:rsidRPr="0059083D">
        <w:rPr>
          <w:lang w:val="fr-CA"/>
        </w:rPr>
        <w:t xml:space="preserve">à la centaine </w:t>
      </w:r>
      <w:bookmarkStart w:id="118" w:name="DocXTextRef83"/>
      <w:r w:rsidR="000B08F2" w:rsidRPr="0059083D">
        <w:rPr>
          <w:lang w:val="fr-CA"/>
        </w:rPr>
        <w:t>(</w:t>
      </w:r>
      <w:r w:rsidR="000B08F2" w:rsidRPr="00986BEB">
        <w:rPr>
          <w:lang w:val="fr-CA"/>
        </w:rPr>
        <w:t>100</w:t>
      </w:r>
      <w:r w:rsidR="000B08F2" w:rsidRPr="0059083D">
        <w:rPr>
          <w:lang w:val="fr-CA"/>
        </w:rPr>
        <w:t>)</w:t>
      </w:r>
      <w:bookmarkEnd w:id="118"/>
      <w:r w:rsidRPr="0059083D">
        <w:rPr>
          <w:lang w:val="fr-CA"/>
        </w:rPr>
        <w:t xml:space="preserve"> près</w:t>
      </w:r>
      <w:r w:rsidR="000B08F2" w:rsidRPr="0059083D">
        <w:rPr>
          <w:szCs w:val="16"/>
          <w:lang w:val="fr-CA"/>
        </w:rPr>
        <w:t>.]</w:t>
      </w:r>
      <w:bookmarkEnd w:id="113"/>
    </w:p>
    <w:p w14:paraId="46378869" w14:textId="4FC16971" w:rsidR="00037C7E" w:rsidRPr="00986BEB" w:rsidRDefault="0006561D">
      <w:pPr>
        <w:pStyle w:val="StandardL3"/>
        <w:rPr>
          <w:lang w:val="fr-CA"/>
        </w:rPr>
      </w:pPr>
      <w:bookmarkStart w:id="119" w:name="_Ref448380557"/>
      <w:r w:rsidRPr="0059083D">
        <w:rPr>
          <w:lang w:val="fr-CA"/>
        </w:rPr>
        <w:t xml:space="preserve">Dans le cadre de tout placement des actions </w:t>
      </w:r>
      <w:r w:rsidR="000B08F2" w:rsidRPr="0059083D">
        <w:rPr>
          <w:lang w:val="fr-CA"/>
        </w:rPr>
        <w:t>de la Société</w:t>
      </w:r>
      <w:r w:rsidRPr="0059083D">
        <w:rPr>
          <w:lang w:val="fr-CA"/>
        </w:rPr>
        <w:t xml:space="preserve"> par voie de prise ferme conformément au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_Ref448380554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2.2</w:t>
      </w:r>
      <w:r w:rsidR="000B08F2" w:rsidRPr="00986BEB">
        <w:rPr>
          <w:u w:val="single"/>
          <w:lang w:val="fr-CA"/>
        </w:rPr>
        <w:fldChar w:fldCharType="end"/>
      </w:r>
      <w:r w:rsidR="000B08F2" w:rsidRPr="0059083D">
        <w:rPr>
          <w:szCs w:val="16"/>
          <w:lang w:val="fr-CA"/>
        </w:rPr>
        <w:t>, la Société</w:t>
      </w:r>
      <w:r w:rsidRPr="0059083D">
        <w:rPr>
          <w:szCs w:val="16"/>
          <w:lang w:val="fr-CA"/>
        </w:rPr>
        <w:t xml:space="preserve"> n’est tenue d’inclure les Titres à inscrire</w:t>
      </w:r>
      <w:r w:rsidR="000B08F2" w:rsidRPr="0059083D">
        <w:rPr>
          <w:szCs w:val="16"/>
          <w:lang w:val="fr-CA"/>
        </w:rPr>
        <w:t xml:space="preserve"> </w:t>
      </w:r>
      <w:r w:rsidRPr="0059083D">
        <w:rPr>
          <w:szCs w:val="16"/>
          <w:lang w:val="fr-CA"/>
        </w:rPr>
        <w:t xml:space="preserve">des Porteurs que si </w:t>
      </w:r>
      <w:r w:rsidR="00886ECC">
        <w:rPr>
          <w:szCs w:val="16"/>
          <w:lang w:val="fr-CA"/>
        </w:rPr>
        <w:t>ces derniers</w:t>
      </w:r>
      <w:r w:rsidR="000B08F2" w:rsidRPr="0059083D">
        <w:rPr>
          <w:szCs w:val="16"/>
          <w:lang w:val="fr-CA"/>
        </w:rPr>
        <w:t xml:space="preserve"> </w:t>
      </w:r>
      <w:r w:rsidRPr="0059083D">
        <w:rPr>
          <w:szCs w:val="16"/>
          <w:lang w:val="fr-CA"/>
        </w:rPr>
        <w:t xml:space="preserve">acceptent les modalités de la prise ferme convenues entre </w:t>
      </w:r>
      <w:r w:rsidR="000B08F2" w:rsidRPr="0059083D">
        <w:rPr>
          <w:szCs w:val="16"/>
          <w:lang w:val="fr-CA"/>
        </w:rPr>
        <w:t xml:space="preserve">la Société </w:t>
      </w:r>
      <w:r w:rsidRPr="0059083D">
        <w:rPr>
          <w:szCs w:val="16"/>
          <w:lang w:val="fr-CA"/>
        </w:rPr>
        <w:t>et ses preneurs fermes</w:t>
      </w:r>
      <w:r w:rsidR="000B08F2" w:rsidRPr="0059083D">
        <w:rPr>
          <w:szCs w:val="16"/>
          <w:lang w:val="fr-CA"/>
        </w:rPr>
        <w:t xml:space="preserve">, </w:t>
      </w:r>
      <w:r w:rsidRPr="0059083D">
        <w:rPr>
          <w:szCs w:val="16"/>
          <w:lang w:val="fr-CA"/>
        </w:rPr>
        <w:t xml:space="preserve">et alors uniquement dans la quantité qui, de l’avis exclusif des preneurs fermes, ne compromettra pas le succès du placement de </w:t>
      </w:r>
      <w:r w:rsidR="000B08F2" w:rsidRPr="0059083D">
        <w:rPr>
          <w:szCs w:val="16"/>
          <w:lang w:val="fr-CA"/>
        </w:rPr>
        <w:t xml:space="preserve">la Société. </w:t>
      </w:r>
      <w:r w:rsidRPr="0059083D">
        <w:rPr>
          <w:szCs w:val="16"/>
          <w:lang w:val="fr-CA"/>
        </w:rPr>
        <w:t>Si le nombre total de titres</w:t>
      </w:r>
      <w:r w:rsidR="000B08F2" w:rsidRPr="0059083D">
        <w:rPr>
          <w:szCs w:val="16"/>
          <w:lang w:val="fr-CA"/>
        </w:rPr>
        <w:t xml:space="preserve">, </w:t>
      </w:r>
      <w:r w:rsidRPr="0059083D">
        <w:rPr>
          <w:szCs w:val="16"/>
          <w:lang w:val="fr-CA"/>
        </w:rPr>
        <w:t>y compris les Titres à inscrire</w:t>
      </w:r>
      <w:r w:rsidR="000B08F2" w:rsidRPr="0059083D">
        <w:rPr>
          <w:szCs w:val="16"/>
          <w:lang w:val="fr-CA"/>
        </w:rPr>
        <w:t xml:space="preserve">, </w:t>
      </w:r>
      <w:r w:rsidRPr="0059083D">
        <w:rPr>
          <w:szCs w:val="16"/>
          <w:lang w:val="fr-CA"/>
        </w:rPr>
        <w:t xml:space="preserve">que les actionnaires demandent d’inclure dans le placement est supérieur au nombre de titres </w:t>
      </w:r>
      <w:r w:rsidR="004F5E79">
        <w:rPr>
          <w:szCs w:val="16"/>
          <w:lang w:val="fr-CA"/>
        </w:rPr>
        <w:t>à vendre</w:t>
      </w:r>
      <w:r w:rsidRPr="0059083D">
        <w:rPr>
          <w:szCs w:val="16"/>
          <w:lang w:val="fr-CA"/>
        </w:rPr>
        <w:t xml:space="preserve"> </w:t>
      </w:r>
      <w:r w:rsidR="000B08F2" w:rsidRPr="0059083D">
        <w:rPr>
          <w:szCs w:val="16"/>
          <w:lang w:val="fr-CA"/>
        </w:rPr>
        <w:t>(</w:t>
      </w:r>
      <w:r w:rsidRPr="0059083D">
        <w:rPr>
          <w:szCs w:val="16"/>
          <w:lang w:val="fr-CA"/>
        </w:rPr>
        <w:t xml:space="preserve">sauf par la </w:t>
      </w:r>
      <w:r w:rsidR="000B08F2" w:rsidRPr="0059083D">
        <w:rPr>
          <w:szCs w:val="16"/>
          <w:lang w:val="fr-CA"/>
        </w:rPr>
        <w:t xml:space="preserve">Société) </w:t>
      </w:r>
      <w:r w:rsidRPr="0059083D">
        <w:rPr>
          <w:szCs w:val="16"/>
          <w:lang w:val="fr-CA"/>
        </w:rPr>
        <w:t>qui, de l’avis raisonnable des preneurs fermes, est compatible avec le succès du placement</w:t>
      </w:r>
      <w:r w:rsidR="000B08F2" w:rsidRPr="0059083D">
        <w:rPr>
          <w:szCs w:val="16"/>
          <w:lang w:val="fr-CA"/>
        </w:rPr>
        <w:t xml:space="preserve">, </w:t>
      </w:r>
      <w:r w:rsidRPr="0059083D">
        <w:rPr>
          <w:szCs w:val="16"/>
          <w:lang w:val="fr-CA"/>
        </w:rPr>
        <w:t xml:space="preserve">alors </w:t>
      </w:r>
      <w:r w:rsidR="000B08F2" w:rsidRPr="0059083D">
        <w:rPr>
          <w:szCs w:val="16"/>
          <w:lang w:val="fr-CA"/>
        </w:rPr>
        <w:t xml:space="preserve">la Société </w:t>
      </w:r>
      <w:r w:rsidRPr="0059083D">
        <w:rPr>
          <w:szCs w:val="16"/>
          <w:lang w:val="fr-CA"/>
        </w:rPr>
        <w:t>est tenue d’inclure dans le placement uniquement le nombre de titres, y compris les Titres à inscrire</w:t>
      </w:r>
      <w:r w:rsidR="000B08F2" w:rsidRPr="0059083D">
        <w:rPr>
          <w:szCs w:val="16"/>
          <w:lang w:val="fr-CA"/>
        </w:rPr>
        <w:t xml:space="preserve">, </w:t>
      </w:r>
      <w:r w:rsidRPr="0059083D">
        <w:rPr>
          <w:szCs w:val="16"/>
          <w:lang w:val="fr-CA"/>
        </w:rPr>
        <w:t xml:space="preserve">qui, de l’avis exclusif des preneurs fermes et de la </w:t>
      </w:r>
      <w:r w:rsidR="000B08F2" w:rsidRPr="0059083D">
        <w:rPr>
          <w:szCs w:val="16"/>
          <w:lang w:val="fr-CA"/>
        </w:rPr>
        <w:t>Société</w:t>
      </w:r>
      <w:r w:rsidRPr="0059083D">
        <w:rPr>
          <w:szCs w:val="16"/>
          <w:lang w:val="fr-CA"/>
        </w:rPr>
        <w:t>, ne compromettra pas le succès du placement</w:t>
      </w:r>
      <w:r w:rsidR="000B08F2" w:rsidRPr="0059083D">
        <w:rPr>
          <w:szCs w:val="16"/>
          <w:lang w:val="fr-CA"/>
        </w:rPr>
        <w:t xml:space="preserve">. </w:t>
      </w:r>
      <w:r w:rsidRPr="0059083D">
        <w:rPr>
          <w:szCs w:val="16"/>
          <w:lang w:val="fr-CA"/>
        </w:rPr>
        <w:t>Si les preneurs fermes jugent que moins de la totalité des Titres à inscrire</w:t>
      </w:r>
      <w:r w:rsidR="000B08F2" w:rsidRPr="0059083D">
        <w:rPr>
          <w:szCs w:val="16"/>
          <w:lang w:val="fr-CA"/>
        </w:rPr>
        <w:t xml:space="preserve"> </w:t>
      </w:r>
      <w:r w:rsidRPr="0059083D">
        <w:rPr>
          <w:szCs w:val="16"/>
          <w:lang w:val="fr-CA"/>
        </w:rPr>
        <w:t xml:space="preserve">dont l’inscription est demandée peuvent être inclus dans le placement, alors </w:t>
      </w:r>
      <w:r w:rsidR="000B08F2" w:rsidRPr="0059083D">
        <w:rPr>
          <w:szCs w:val="16"/>
          <w:lang w:val="fr-CA"/>
        </w:rPr>
        <w:t xml:space="preserve">les </w:t>
      </w:r>
      <w:r w:rsidRPr="0059083D">
        <w:rPr>
          <w:szCs w:val="16"/>
          <w:lang w:val="fr-CA"/>
        </w:rPr>
        <w:t>Titres à inscrire</w:t>
      </w:r>
      <w:r w:rsidR="000B08F2" w:rsidRPr="0059083D">
        <w:rPr>
          <w:szCs w:val="16"/>
          <w:lang w:val="fr-CA"/>
        </w:rPr>
        <w:t xml:space="preserve"> </w:t>
      </w:r>
      <w:r w:rsidRPr="0059083D">
        <w:rPr>
          <w:szCs w:val="16"/>
          <w:lang w:val="fr-CA"/>
        </w:rPr>
        <w:t xml:space="preserve">qui sont inclus dans le placement </w:t>
      </w:r>
      <w:r w:rsidR="00886ECC">
        <w:rPr>
          <w:szCs w:val="16"/>
          <w:lang w:val="fr-CA"/>
        </w:rPr>
        <w:t xml:space="preserve">sont </w:t>
      </w:r>
      <w:r w:rsidRPr="0059083D">
        <w:rPr>
          <w:szCs w:val="16"/>
          <w:lang w:val="fr-CA"/>
        </w:rPr>
        <w:t>réparti</w:t>
      </w:r>
      <w:r w:rsidR="00886ECC">
        <w:rPr>
          <w:szCs w:val="16"/>
          <w:lang w:val="fr-CA"/>
        </w:rPr>
        <w:t>s</w:t>
      </w:r>
      <w:r w:rsidRPr="0059083D">
        <w:rPr>
          <w:szCs w:val="16"/>
          <w:lang w:val="fr-CA"/>
        </w:rPr>
        <w:t xml:space="preserve"> entre les </w:t>
      </w:r>
      <w:r w:rsidR="00E043C9" w:rsidRPr="0059083D">
        <w:rPr>
          <w:szCs w:val="16"/>
          <w:lang w:val="fr-CA"/>
        </w:rPr>
        <w:t>Porteurs</w:t>
      </w:r>
      <w:r w:rsidR="000B08F2" w:rsidRPr="0059083D">
        <w:rPr>
          <w:szCs w:val="16"/>
          <w:lang w:val="fr-CA"/>
        </w:rPr>
        <w:t xml:space="preserve"> </w:t>
      </w:r>
      <w:r w:rsidRPr="0059083D">
        <w:rPr>
          <w:szCs w:val="16"/>
          <w:lang w:val="fr-CA"/>
        </w:rPr>
        <w:t xml:space="preserve">vendeurs au prorata </w:t>
      </w:r>
      <w:r w:rsidR="000B08F2" w:rsidRPr="0059083D">
        <w:rPr>
          <w:szCs w:val="16"/>
          <w:lang w:val="fr-CA"/>
        </w:rPr>
        <w:t>(</w:t>
      </w:r>
      <w:r w:rsidRPr="0059083D">
        <w:rPr>
          <w:szCs w:val="16"/>
          <w:lang w:val="fr-CA"/>
        </w:rPr>
        <w:t>autant que possible</w:t>
      </w:r>
      <w:r w:rsidR="000B08F2" w:rsidRPr="0059083D">
        <w:rPr>
          <w:szCs w:val="16"/>
          <w:lang w:val="fr-CA"/>
        </w:rPr>
        <w:t xml:space="preserve">) </w:t>
      </w:r>
      <w:r w:rsidRPr="0059083D">
        <w:rPr>
          <w:szCs w:val="16"/>
          <w:lang w:val="fr-CA"/>
        </w:rPr>
        <w:t>du nombre de Titres à inscrire</w:t>
      </w:r>
      <w:r w:rsidR="000B08F2" w:rsidRPr="0059083D">
        <w:rPr>
          <w:szCs w:val="16"/>
          <w:lang w:val="fr-CA"/>
        </w:rPr>
        <w:t xml:space="preserve"> </w:t>
      </w:r>
      <w:r w:rsidRPr="0059083D">
        <w:rPr>
          <w:szCs w:val="16"/>
          <w:lang w:val="fr-CA"/>
        </w:rPr>
        <w:t>dont chaque Porteur</w:t>
      </w:r>
      <w:r w:rsidR="000B08F2" w:rsidRPr="0059083D">
        <w:rPr>
          <w:szCs w:val="16"/>
          <w:lang w:val="fr-CA"/>
        </w:rPr>
        <w:t xml:space="preserve"> </w:t>
      </w:r>
      <w:r w:rsidR="00886ECC">
        <w:rPr>
          <w:szCs w:val="16"/>
          <w:lang w:val="fr-CA"/>
        </w:rPr>
        <w:t xml:space="preserve">vendeur </w:t>
      </w:r>
      <w:r w:rsidRPr="0059083D">
        <w:rPr>
          <w:szCs w:val="16"/>
          <w:lang w:val="fr-CA"/>
        </w:rPr>
        <w:t xml:space="preserve">est propriétaire </w:t>
      </w:r>
      <w:r w:rsidRPr="0059083D">
        <w:rPr>
          <w:lang w:val="fr-CA"/>
        </w:rPr>
        <w:t xml:space="preserve">ou </w:t>
      </w:r>
      <w:r w:rsidRPr="00886ECC">
        <w:rPr>
          <w:lang w:val="fr-CA"/>
        </w:rPr>
        <w:t xml:space="preserve">selon </w:t>
      </w:r>
      <w:r w:rsidR="00886ECC" w:rsidRPr="00886ECC">
        <w:rPr>
          <w:lang w:val="fr-CA"/>
        </w:rPr>
        <w:t xml:space="preserve">une </w:t>
      </w:r>
      <w:r w:rsidRPr="00886ECC">
        <w:rPr>
          <w:lang w:val="fr-CA"/>
        </w:rPr>
        <w:t xml:space="preserve">autre proportion </w:t>
      </w:r>
      <w:r w:rsidR="00886ECC" w:rsidRPr="00886ECC">
        <w:rPr>
          <w:lang w:val="fr-CA"/>
        </w:rPr>
        <w:t xml:space="preserve">déterminée d’un commun accord entre tous </w:t>
      </w:r>
      <w:r w:rsidRPr="00886ECC">
        <w:rPr>
          <w:lang w:val="fr-CA"/>
        </w:rPr>
        <w:t>ces Porteurs vendeurs</w:t>
      </w:r>
      <w:r w:rsidR="000B08F2" w:rsidRPr="0059083D">
        <w:rPr>
          <w:szCs w:val="16"/>
          <w:lang w:val="fr-CA"/>
        </w:rPr>
        <w:t>. [</w:t>
      </w:r>
      <w:r w:rsidRPr="0059083D">
        <w:rPr>
          <w:lang w:val="fr-CA"/>
        </w:rPr>
        <w:t>Pour faciliter la répartition des actions conformément aux dispositions énoncées ci-dessus, la Société ou les preneurs fermes peuvent arrondir le nombre d’actions attribuées à un Porteur à la centaine (</w:t>
      </w:r>
      <w:r w:rsidRPr="00986BEB">
        <w:rPr>
          <w:lang w:val="fr-CA"/>
        </w:rPr>
        <w:t>100</w:t>
      </w:r>
      <w:r w:rsidRPr="0059083D">
        <w:rPr>
          <w:lang w:val="fr-CA"/>
        </w:rPr>
        <w:t>) près</w:t>
      </w:r>
      <w:r w:rsidR="000B08F2" w:rsidRPr="0059083D">
        <w:rPr>
          <w:lang w:val="fr-CA"/>
        </w:rPr>
        <w:t xml:space="preserve">.] </w:t>
      </w:r>
      <w:r w:rsidRPr="0059083D">
        <w:rPr>
          <w:lang w:val="fr-CA"/>
        </w:rPr>
        <w:t xml:space="preserve">Malgré ce qui précède, en aucun cas </w:t>
      </w:r>
      <w:bookmarkStart w:id="120" w:name="DocXTextRef87"/>
      <w:r w:rsidR="000B08F2" w:rsidRPr="0059083D">
        <w:rPr>
          <w:lang w:val="fr-CA"/>
        </w:rPr>
        <w:t>(</w:t>
      </w:r>
      <w:r w:rsidR="000B08F2" w:rsidRPr="00986BEB">
        <w:rPr>
          <w:lang w:val="fr-CA"/>
        </w:rPr>
        <w:t>i</w:t>
      </w:r>
      <w:r w:rsidR="000B08F2" w:rsidRPr="0059083D">
        <w:rPr>
          <w:lang w:val="fr-CA"/>
        </w:rPr>
        <w:t>)</w:t>
      </w:r>
      <w:bookmarkEnd w:id="120"/>
      <w:r w:rsidRPr="0059083D">
        <w:rPr>
          <w:lang w:val="fr-CA"/>
        </w:rPr>
        <w:t xml:space="preserve"> le nombre de </w:t>
      </w:r>
      <w:r w:rsidRPr="0059083D">
        <w:rPr>
          <w:szCs w:val="16"/>
          <w:lang w:val="fr-CA"/>
        </w:rPr>
        <w:t>Titres à inscrire</w:t>
      </w:r>
      <w:r w:rsidR="000B08F2" w:rsidRPr="0059083D">
        <w:rPr>
          <w:szCs w:val="16"/>
          <w:lang w:val="fr-CA"/>
        </w:rPr>
        <w:t xml:space="preserve"> </w:t>
      </w:r>
      <w:r w:rsidRPr="0059083D">
        <w:rPr>
          <w:szCs w:val="16"/>
          <w:lang w:val="fr-CA"/>
        </w:rPr>
        <w:t>inclus dans le placement ne peut être réduit</w:t>
      </w:r>
      <w:r w:rsidR="00702C51">
        <w:rPr>
          <w:szCs w:val="16"/>
          <w:lang w:val="fr-CA"/>
        </w:rPr>
        <w:t>,</w:t>
      </w:r>
      <w:r w:rsidRPr="0059083D">
        <w:rPr>
          <w:szCs w:val="16"/>
          <w:lang w:val="fr-CA"/>
        </w:rPr>
        <w:t xml:space="preserve"> à moins que tous les autres titres </w:t>
      </w:r>
      <w:r w:rsidR="000B08F2" w:rsidRPr="0059083D">
        <w:rPr>
          <w:szCs w:val="16"/>
          <w:lang w:val="fr-CA"/>
        </w:rPr>
        <w:t>(</w:t>
      </w:r>
      <w:r w:rsidRPr="0059083D">
        <w:rPr>
          <w:szCs w:val="16"/>
          <w:lang w:val="fr-CA"/>
        </w:rPr>
        <w:t xml:space="preserve">sauf les titres devant être vendus par </w:t>
      </w:r>
      <w:r w:rsidR="000B08F2" w:rsidRPr="0059083D">
        <w:rPr>
          <w:szCs w:val="16"/>
          <w:lang w:val="fr-CA"/>
        </w:rPr>
        <w:t xml:space="preserve">la Société) </w:t>
      </w:r>
      <w:r w:rsidRPr="0059083D">
        <w:rPr>
          <w:szCs w:val="16"/>
          <w:lang w:val="fr-CA"/>
        </w:rPr>
        <w:t>ne soient d’abord entièrement exclus du placement</w:t>
      </w:r>
      <w:r w:rsidR="000B08F2" w:rsidRPr="0059083D">
        <w:rPr>
          <w:szCs w:val="16"/>
          <w:lang w:val="fr-CA"/>
        </w:rPr>
        <w:t>, [</w:t>
      </w:r>
      <w:r w:rsidRPr="0059083D">
        <w:rPr>
          <w:szCs w:val="16"/>
          <w:lang w:val="fr-CA"/>
        </w:rPr>
        <w:t>ou</w:t>
      </w:r>
      <w:r w:rsidR="000B08F2" w:rsidRPr="0059083D">
        <w:rPr>
          <w:szCs w:val="16"/>
          <w:lang w:val="fr-CA"/>
        </w:rPr>
        <w:t xml:space="preserve">] </w:t>
      </w:r>
      <w:bookmarkStart w:id="121" w:name="DocXTextRef88"/>
      <w:r w:rsidR="000B08F2" w:rsidRPr="0059083D">
        <w:rPr>
          <w:szCs w:val="16"/>
          <w:lang w:val="fr-CA"/>
        </w:rPr>
        <w:t>(</w:t>
      </w:r>
      <w:r w:rsidR="000B08F2" w:rsidRPr="00986BEB">
        <w:rPr>
          <w:szCs w:val="16"/>
          <w:lang w:val="fr-CA"/>
        </w:rPr>
        <w:t>ii</w:t>
      </w:r>
      <w:r w:rsidR="000B08F2" w:rsidRPr="0059083D">
        <w:rPr>
          <w:szCs w:val="16"/>
          <w:lang w:val="fr-CA"/>
        </w:rPr>
        <w:t>)</w:t>
      </w:r>
      <w:bookmarkEnd w:id="121"/>
      <w:r w:rsidRPr="0059083D">
        <w:rPr>
          <w:szCs w:val="16"/>
          <w:lang w:val="fr-CA"/>
        </w:rPr>
        <w:t xml:space="preserve"> le nombre de </w:t>
      </w:r>
      <w:r w:rsidRPr="0059083D">
        <w:rPr>
          <w:lang w:val="fr-CA"/>
        </w:rPr>
        <w:t>Titres à inscrire</w:t>
      </w:r>
      <w:r w:rsidR="000B08F2" w:rsidRPr="0059083D">
        <w:rPr>
          <w:lang w:val="fr-CA"/>
        </w:rPr>
        <w:t xml:space="preserve"> </w:t>
      </w:r>
      <w:r w:rsidRPr="0059083D">
        <w:rPr>
          <w:lang w:val="fr-CA"/>
        </w:rPr>
        <w:t xml:space="preserve">inclus dans le placement ne peut être réduit en deçà de </w:t>
      </w:r>
      <w:r w:rsidR="000B08F2" w:rsidRPr="0059083D">
        <w:rPr>
          <w:lang w:val="fr-CA"/>
        </w:rPr>
        <w:t>[</w:t>
      </w:r>
      <w:r w:rsidRPr="0059083D">
        <w:rPr>
          <w:lang w:val="fr-CA"/>
        </w:rPr>
        <w:t>vingt</w:t>
      </w:r>
      <w:r w:rsidR="000870A7">
        <w:rPr>
          <w:lang w:val="fr-CA"/>
        </w:rPr>
        <w:t xml:space="preserve"> </w:t>
      </w:r>
      <w:r w:rsidR="00A849D9">
        <w:rPr>
          <w:lang w:val="fr-CA"/>
        </w:rPr>
        <w:t>-</w:t>
      </w:r>
      <w:r w:rsidR="000870A7">
        <w:rPr>
          <w:lang w:val="fr-CA"/>
        </w:rPr>
        <w:t xml:space="preserve"> </w:t>
      </w:r>
      <w:r w:rsidR="000B08F2" w:rsidRPr="0059083D">
        <w:rPr>
          <w:lang w:val="fr-CA"/>
        </w:rPr>
        <w:t>t</w:t>
      </w:r>
      <w:r w:rsidRPr="0059083D">
        <w:rPr>
          <w:lang w:val="fr-CA"/>
        </w:rPr>
        <w:t>rente</w:t>
      </w:r>
      <w:r w:rsidR="000B08F2" w:rsidRPr="0059083D">
        <w:rPr>
          <w:lang w:val="fr-CA"/>
        </w:rPr>
        <w:t>]</w:t>
      </w:r>
      <w:r w:rsidRPr="0059083D">
        <w:rPr>
          <w:lang w:val="fr-CA"/>
        </w:rPr>
        <w:t> pour cent</w:t>
      </w:r>
      <w:r w:rsidR="000B08F2" w:rsidRPr="0059083D">
        <w:rPr>
          <w:lang w:val="fr-CA"/>
        </w:rPr>
        <w:t xml:space="preserve"> ([</w:t>
      </w:r>
      <w:r w:rsidR="000B08F2" w:rsidRPr="00986BEB">
        <w:rPr>
          <w:lang w:val="fr-CA"/>
        </w:rPr>
        <w:t>20</w:t>
      </w:r>
      <w:r w:rsidR="000870A7">
        <w:rPr>
          <w:lang w:val="fr-CA"/>
        </w:rPr>
        <w:t xml:space="preserve"> </w:t>
      </w:r>
      <w:r w:rsidR="00A849D9">
        <w:rPr>
          <w:lang w:val="fr-CA"/>
        </w:rPr>
        <w:t>-</w:t>
      </w:r>
      <w:r w:rsidR="000870A7">
        <w:rPr>
          <w:lang w:val="fr-CA"/>
        </w:rPr>
        <w:t xml:space="preserve"> </w:t>
      </w:r>
      <w:r w:rsidR="000B08F2" w:rsidRPr="00986BEB">
        <w:rPr>
          <w:lang w:val="fr-CA"/>
        </w:rPr>
        <w:t>30</w:t>
      </w:r>
      <w:r w:rsidR="000B08F2" w:rsidRPr="0059083D">
        <w:rPr>
          <w:lang w:val="fr-CA"/>
        </w:rPr>
        <w:t>]</w:t>
      </w:r>
      <w:r w:rsidRPr="0059083D">
        <w:rPr>
          <w:lang w:val="fr-CA"/>
        </w:rPr>
        <w:t> </w:t>
      </w:r>
      <w:r w:rsidR="000B08F2" w:rsidRPr="0059083D">
        <w:rPr>
          <w:lang w:val="fr-CA"/>
        </w:rPr>
        <w:t xml:space="preserve">%) </w:t>
      </w:r>
      <w:r w:rsidRPr="0059083D">
        <w:rPr>
          <w:lang w:val="fr-CA"/>
        </w:rPr>
        <w:t xml:space="preserve">du nombre total de titres inclus dans le placement, à moins </w:t>
      </w:r>
      <w:r w:rsidR="00702C51">
        <w:rPr>
          <w:lang w:val="fr-CA"/>
        </w:rPr>
        <w:t xml:space="preserve">qu’il ne s’agisse du </w:t>
      </w:r>
      <w:r w:rsidRPr="0059083D">
        <w:rPr>
          <w:lang w:val="fr-CA"/>
        </w:rPr>
        <w:t>PAPE</w:t>
      </w:r>
      <w:r w:rsidR="000B08F2" w:rsidRPr="0059083D">
        <w:rPr>
          <w:lang w:val="fr-CA"/>
        </w:rPr>
        <w:t xml:space="preserve">, </w:t>
      </w:r>
      <w:r w:rsidRPr="0059083D">
        <w:rPr>
          <w:lang w:val="fr-CA"/>
        </w:rPr>
        <w:t xml:space="preserve">auquel cas les </w:t>
      </w:r>
      <w:r w:rsidR="00E043C9" w:rsidRPr="0059083D">
        <w:rPr>
          <w:lang w:val="fr-CA"/>
        </w:rPr>
        <w:t>Porteurs</w:t>
      </w:r>
      <w:r w:rsidR="000B08F2" w:rsidRPr="0059083D">
        <w:rPr>
          <w:lang w:val="fr-CA"/>
        </w:rPr>
        <w:t xml:space="preserve"> </w:t>
      </w:r>
      <w:r w:rsidRPr="0059083D">
        <w:rPr>
          <w:lang w:val="fr-CA"/>
        </w:rPr>
        <w:t xml:space="preserve">vendeurs peuvent être exclus davantage si les preneurs fermes </w:t>
      </w:r>
      <w:r w:rsidR="00702C51">
        <w:rPr>
          <w:lang w:val="fr-CA"/>
        </w:rPr>
        <w:t xml:space="preserve">le </w:t>
      </w:r>
      <w:r w:rsidR="00964CB1">
        <w:rPr>
          <w:lang w:val="fr-CA"/>
        </w:rPr>
        <w:t>juge</w:t>
      </w:r>
      <w:r w:rsidR="00A849D9">
        <w:rPr>
          <w:lang w:val="fr-CA"/>
        </w:rPr>
        <w:t>nt</w:t>
      </w:r>
      <w:r w:rsidR="00964CB1">
        <w:rPr>
          <w:lang w:val="fr-CA"/>
        </w:rPr>
        <w:t xml:space="preserve"> nécessaire </w:t>
      </w:r>
      <w:r w:rsidR="00702C51">
        <w:rPr>
          <w:lang w:val="fr-CA"/>
        </w:rPr>
        <w:t>conformément aux dispositions énoncées ci-dessus</w:t>
      </w:r>
      <w:r w:rsidRPr="0059083D">
        <w:rPr>
          <w:lang w:val="fr-CA"/>
        </w:rPr>
        <w:t xml:space="preserve"> et qu</w:t>
      </w:r>
      <w:r w:rsidR="00964CB1">
        <w:rPr>
          <w:lang w:val="fr-CA"/>
        </w:rPr>
        <w:t>e les titres d’a</w:t>
      </w:r>
      <w:r w:rsidRPr="0059083D">
        <w:rPr>
          <w:lang w:val="fr-CA"/>
        </w:rPr>
        <w:t>ucun autre actionnaire</w:t>
      </w:r>
      <w:r w:rsidR="00964CB1">
        <w:rPr>
          <w:lang w:val="fr-CA"/>
        </w:rPr>
        <w:t xml:space="preserve"> ne sont </w:t>
      </w:r>
      <w:r w:rsidRPr="0059083D">
        <w:rPr>
          <w:lang w:val="fr-CA"/>
        </w:rPr>
        <w:t>inclus dans le placement</w:t>
      </w:r>
      <w:r w:rsidR="00964CB1">
        <w:rPr>
          <w:lang w:val="fr-CA"/>
        </w:rPr>
        <w:t>,</w:t>
      </w:r>
      <w:r w:rsidRPr="0059083D">
        <w:rPr>
          <w:lang w:val="fr-CA"/>
        </w:rPr>
        <w:t xml:space="preserve"> </w:t>
      </w:r>
      <w:r w:rsidR="000B08F2" w:rsidRPr="0059083D">
        <w:rPr>
          <w:lang w:val="fr-CA"/>
        </w:rPr>
        <w:t>[</w:t>
      </w:r>
      <w:r w:rsidRPr="0059083D">
        <w:rPr>
          <w:lang w:val="fr-CA"/>
        </w:rPr>
        <w:t>ou</w:t>
      </w:r>
      <w:r w:rsidR="000B08F2" w:rsidRPr="0059083D">
        <w:rPr>
          <w:lang w:val="fr-CA"/>
        </w:rPr>
        <w:t xml:space="preserve"> </w:t>
      </w:r>
      <w:bookmarkStart w:id="122" w:name="DocXTextRef89"/>
      <w:r w:rsidR="000B08F2" w:rsidRPr="0059083D">
        <w:rPr>
          <w:lang w:val="fr-CA"/>
        </w:rPr>
        <w:t>(</w:t>
      </w:r>
      <w:r w:rsidR="000B08F2" w:rsidRPr="00986BEB">
        <w:rPr>
          <w:lang w:val="fr-CA"/>
        </w:rPr>
        <w:t>iii</w:t>
      </w:r>
      <w:r w:rsidR="000B08F2" w:rsidRPr="0059083D">
        <w:rPr>
          <w:lang w:val="fr-CA"/>
        </w:rPr>
        <w:t>)</w:t>
      </w:r>
      <w:bookmarkEnd w:id="122"/>
      <w:r w:rsidRPr="0059083D">
        <w:rPr>
          <w:lang w:val="fr-CA"/>
        </w:rPr>
        <w:t> malgré la clause</w:t>
      </w:r>
      <w:bookmarkStart w:id="123" w:name="DocXTextRef90"/>
      <w:r w:rsidRPr="0059083D">
        <w:rPr>
          <w:lang w:val="fr-CA"/>
        </w:rPr>
        <w:t> </w:t>
      </w:r>
      <w:r w:rsidR="000B08F2" w:rsidRPr="0059083D">
        <w:rPr>
          <w:lang w:val="fr-CA"/>
        </w:rPr>
        <w:t>(</w:t>
      </w:r>
      <w:r w:rsidR="000B08F2" w:rsidRPr="00986BEB">
        <w:rPr>
          <w:lang w:val="fr-CA"/>
        </w:rPr>
        <w:t>ii</w:t>
      </w:r>
      <w:r w:rsidR="000B08F2" w:rsidRPr="0059083D">
        <w:rPr>
          <w:lang w:val="fr-CA"/>
        </w:rPr>
        <w:t>)</w:t>
      </w:r>
      <w:bookmarkEnd w:id="123"/>
      <w:r w:rsidR="000B08F2" w:rsidRPr="0059083D">
        <w:rPr>
          <w:lang w:val="fr-CA"/>
        </w:rPr>
        <w:t xml:space="preserve"> </w:t>
      </w:r>
      <w:r w:rsidRPr="0059083D">
        <w:rPr>
          <w:lang w:val="fr-CA"/>
        </w:rPr>
        <w:t>ci-dessus</w:t>
      </w:r>
      <w:r w:rsidR="000B08F2" w:rsidRPr="0059083D">
        <w:rPr>
          <w:lang w:val="fr-CA"/>
        </w:rPr>
        <w:t xml:space="preserve">, </w:t>
      </w:r>
      <w:r w:rsidRPr="0059083D">
        <w:rPr>
          <w:lang w:val="fr-CA"/>
        </w:rPr>
        <w:t>les Titres à inscrire</w:t>
      </w:r>
      <w:r w:rsidR="000B08F2" w:rsidRPr="0059083D">
        <w:rPr>
          <w:lang w:val="fr-CA"/>
        </w:rPr>
        <w:t xml:space="preserve"> </w:t>
      </w:r>
      <w:r w:rsidRPr="0059083D">
        <w:rPr>
          <w:lang w:val="fr-CA"/>
        </w:rPr>
        <w:t>qui ne sont pas des Titres à inscrire</w:t>
      </w:r>
      <w:r w:rsidR="00E426A8" w:rsidRPr="0059083D">
        <w:rPr>
          <w:lang w:val="fr-CA"/>
        </w:rPr>
        <w:t xml:space="preserve"> des </w:t>
      </w:r>
      <w:r w:rsidR="004A0089">
        <w:rPr>
          <w:lang w:val="fr-CA"/>
        </w:rPr>
        <w:t>p</w:t>
      </w:r>
      <w:r w:rsidR="00E426A8" w:rsidRPr="0059083D">
        <w:rPr>
          <w:lang w:val="fr-CA"/>
        </w:rPr>
        <w:t>orteurs clés</w:t>
      </w:r>
      <w:r w:rsidR="000B08F2" w:rsidRPr="0059083D">
        <w:rPr>
          <w:lang w:val="fr-CA"/>
        </w:rPr>
        <w:t xml:space="preserve"> </w:t>
      </w:r>
      <w:r w:rsidRPr="0059083D">
        <w:rPr>
          <w:lang w:val="fr-CA"/>
        </w:rPr>
        <w:t xml:space="preserve">ne peuvent être exclus de la prise ferme que </w:t>
      </w:r>
      <w:r w:rsidR="00A849D9">
        <w:rPr>
          <w:lang w:val="fr-CA"/>
        </w:rPr>
        <w:t xml:space="preserve">si </w:t>
      </w:r>
      <w:r w:rsidRPr="0059083D">
        <w:rPr>
          <w:lang w:val="fr-CA"/>
        </w:rPr>
        <w:t>tous les Titres à inscrire</w:t>
      </w:r>
      <w:r w:rsidR="00E426A8" w:rsidRPr="0059083D">
        <w:rPr>
          <w:lang w:val="fr-CA"/>
        </w:rPr>
        <w:t xml:space="preserve"> des </w:t>
      </w:r>
      <w:r w:rsidR="004A0089">
        <w:rPr>
          <w:lang w:val="fr-CA"/>
        </w:rPr>
        <w:t>p</w:t>
      </w:r>
      <w:r w:rsidR="00E426A8" w:rsidRPr="0059083D">
        <w:rPr>
          <w:lang w:val="fr-CA"/>
        </w:rPr>
        <w:t>orteurs clés</w:t>
      </w:r>
      <w:r w:rsidR="000B08F2" w:rsidRPr="0059083D">
        <w:rPr>
          <w:lang w:val="fr-CA"/>
        </w:rPr>
        <w:t xml:space="preserve"> </w:t>
      </w:r>
      <w:r w:rsidRPr="0059083D">
        <w:rPr>
          <w:lang w:val="fr-CA"/>
        </w:rPr>
        <w:t>ne soient d’abord exclus du placement</w:t>
      </w:r>
      <w:bookmarkStart w:id="124" w:name="_Ref448380690"/>
      <w:r w:rsidR="000B08F2" w:rsidRPr="00986BEB">
        <w:rPr>
          <w:rStyle w:val="FootnoteReference"/>
          <w:lang w:val="fr-CA"/>
        </w:rPr>
        <w:footnoteReference w:id="21"/>
      </w:r>
      <w:bookmarkEnd w:id="124"/>
      <w:r w:rsidR="00702C51" w:rsidRPr="0059083D">
        <w:rPr>
          <w:lang w:val="fr-CA"/>
        </w:rPr>
        <w:t>]</w:t>
      </w:r>
      <w:r w:rsidRPr="0059083D">
        <w:rPr>
          <w:lang w:val="fr-CA"/>
        </w:rPr>
        <w:t>.</w:t>
      </w:r>
      <w:r w:rsidR="000B08F2" w:rsidRPr="0059083D">
        <w:rPr>
          <w:lang w:val="fr-CA"/>
        </w:rPr>
        <w:t xml:space="preserve"> </w:t>
      </w:r>
      <w:r w:rsidRPr="0059083D">
        <w:rPr>
          <w:lang w:val="fr-CA"/>
        </w:rPr>
        <w:t xml:space="preserve">Pour l’application de la disposition du présent </w:t>
      </w:r>
      <w:r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_Ref448380557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2.3b)</w:t>
      </w:r>
      <w:r w:rsidR="000B08F2" w:rsidRPr="00986BEB">
        <w:rPr>
          <w:u w:val="single"/>
          <w:lang w:val="fr-CA"/>
        </w:rPr>
        <w:fldChar w:fldCharType="end"/>
      </w:r>
      <w:r w:rsidR="000B08F2" w:rsidRPr="0059083D">
        <w:rPr>
          <w:lang w:val="fr-CA"/>
        </w:rPr>
        <w:t xml:space="preserve"> </w:t>
      </w:r>
      <w:r w:rsidRPr="0059083D">
        <w:rPr>
          <w:lang w:val="fr-CA"/>
        </w:rPr>
        <w:t>concernant la répartition</w:t>
      </w:r>
      <w:r w:rsidR="000B08F2" w:rsidRPr="0059083D">
        <w:rPr>
          <w:lang w:val="fr-CA"/>
        </w:rPr>
        <w:t xml:space="preserve">, </w:t>
      </w:r>
      <w:r w:rsidR="00017344">
        <w:rPr>
          <w:lang w:val="fr-CA"/>
        </w:rPr>
        <w:t>s’agissant de</w:t>
      </w:r>
      <w:r w:rsidRPr="0059083D">
        <w:rPr>
          <w:lang w:val="fr-CA"/>
        </w:rPr>
        <w:t xml:space="preserve"> tout Porteur vendeur</w:t>
      </w:r>
      <w:r w:rsidR="000B08F2" w:rsidRPr="0059083D">
        <w:rPr>
          <w:lang w:val="fr-CA"/>
        </w:rPr>
        <w:t xml:space="preserve"> </w:t>
      </w:r>
      <w:r w:rsidRPr="0059083D">
        <w:rPr>
          <w:lang w:val="fr-CA"/>
        </w:rPr>
        <w:t xml:space="preserve">qui est une société de personnes, une société à responsabilité ou une société par actions, les associés, membres, associés retraités, membres retraités et actionnaires de ce Porteur et les </w:t>
      </w:r>
      <w:r w:rsidR="000B08F2" w:rsidRPr="0059083D">
        <w:rPr>
          <w:lang w:val="fr-CA"/>
        </w:rPr>
        <w:t xml:space="preserve">Membres du même groupe </w:t>
      </w:r>
      <w:r w:rsidRPr="0059083D">
        <w:rPr>
          <w:lang w:val="fr-CA"/>
        </w:rPr>
        <w:t>que lui</w:t>
      </w:r>
      <w:r w:rsidR="000B08F2" w:rsidRPr="0059083D">
        <w:rPr>
          <w:lang w:val="fr-CA"/>
        </w:rPr>
        <w:t xml:space="preserve">, </w:t>
      </w:r>
      <w:r w:rsidRPr="0059083D">
        <w:rPr>
          <w:lang w:val="fr-CA"/>
        </w:rPr>
        <w:t xml:space="preserve">ou les successions et les </w:t>
      </w:r>
      <w:r w:rsidR="00F52467" w:rsidRPr="0059083D">
        <w:rPr>
          <w:lang w:val="fr-CA"/>
        </w:rPr>
        <w:t>Membres de la famille immédiate</w:t>
      </w:r>
      <w:r w:rsidR="000B08F2" w:rsidRPr="0059083D">
        <w:rPr>
          <w:lang w:val="fr-CA"/>
        </w:rPr>
        <w:t xml:space="preserve"> </w:t>
      </w:r>
      <w:r w:rsidRPr="0059083D">
        <w:rPr>
          <w:lang w:val="fr-CA"/>
        </w:rPr>
        <w:t>de ces associés, associés retraités, membres et membre</w:t>
      </w:r>
      <w:r w:rsidR="005561E0">
        <w:rPr>
          <w:lang w:val="fr-CA"/>
        </w:rPr>
        <w:t>s</w:t>
      </w:r>
      <w:r w:rsidRPr="0059083D">
        <w:rPr>
          <w:lang w:val="fr-CA"/>
        </w:rPr>
        <w:t xml:space="preserve"> retraités, de même que les fiducies établies au profit des Personnes susmentionnées</w:t>
      </w:r>
      <w:r w:rsidR="000B08F2" w:rsidRPr="0059083D">
        <w:rPr>
          <w:lang w:val="fr-CA"/>
        </w:rPr>
        <w:t xml:space="preserve"> </w:t>
      </w:r>
      <w:r w:rsidRPr="0059083D">
        <w:rPr>
          <w:lang w:val="fr-CA"/>
        </w:rPr>
        <w:t xml:space="preserve">sont considérés </w:t>
      </w:r>
      <w:r w:rsidR="005561E0">
        <w:rPr>
          <w:lang w:val="fr-CA"/>
        </w:rPr>
        <w:t xml:space="preserve">collectivement </w:t>
      </w:r>
      <w:r w:rsidRPr="0059083D">
        <w:rPr>
          <w:lang w:val="fr-CA"/>
        </w:rPr>
        <w:t xml:space="preserve">comme un seul </w:t>
      </w:r>
      <w:r w:rsidR="000B08F2" w:rsidRPr="0059083D">
        <w:rPr>
          <w:lang w:val="fr-CA"/>
        </w:rPr>
        <w:t>« </w:t>
      </w:r>
      <w:r w:rsidRPr="0059083D">
        <w:rPr>
          <w:lang w:val="fr-CA"/>
        </w:rPr>
        <w:t>Porteur vendeur</w:t>
      </w:r>
      <w:r w:rsidR="000B08F2" w:rsidRPr="0059083D">
        <w:rPr>
          <w:lang w:val="fr-CA"/>
        </w:rPr>
        <w:t> »</w:t>
      </w:r>
      <w:r w:rsidRPr="0059083D">
        <w:rPr>
          <w:lang w:val="fr-CA"/>
        </w:rPr>
        <w:t>,</w:t>
      </w:r>
      <w:r w:rsidR="000B08F2" w:rsidRPr="0059083D">
        <w:rPr>
          <w:lang w:val="fr-CA"/>
        </w:rPr>
        <w:t xml:space="preserve"> </w:t>
      </w:r>
      <w:r w:rsidRPr="0059083D">
        <w:rPr>
          <w:lang w:val="fr-CA"/>
        </w:rPr>
        <w:t xml:space="preserve">et toute réduction proportionnelle applicable à un tel </w:t>
      </w:r>
      <w:r w:rsidR="000B08F2" w:rsidRPr="0059083D">
        <w:rPr>
          <w:lang w:val="fr-CA"/>
        </w:rPr>
        <w:t>« </w:t>
      </w:r>
      <w:r w:rsidRPr="0059083D">
        <w:rPr>
          <w:lang w:val="fr-CA"/>
        </w:rPr>
        <w:t>Porteur vendeur</w:t>
      </w:r>
      <w:r w:rsidR="000B08F2" w:rsidRPr="0059083D">
        <w:rPr>
          <w:lang w:val="fr-CA"/>
        </w:rPr>
        <w:t xml:space="preserve"> » </w:t>
      </w:r>
      <w:r w:rsidRPr="0059083D">
        <w:rPr>
          <w:lang w:val="fr-CA"/>
        </w:rPr>
        <w:t xml:space="preserve">est </w:t>
      </w:r>
      <w:r w:rsidR="00964CB1">
        <w:rPr>
          <w:lang w:val="fr-CA"/>
        </w:rPr>
        <w:t xml:space="preserve">calculée en fonction du </w:t>
      </w:r>
      <w:r w:rsidRPr="0059083D">
        <w:rPr>
          <w:lang w:val="fr-CA"/>
        </w:rPr>
        <w:t>nombre total de Titres à inscrire</w:t>
      </w:r>
      <w:r w:rsidR="000B08F2" w:rsidRPr="0059083D">
        <w:rPr>
          <w:lang w:val="fr-CA"/>
        </w:rPr>
        <w:t xml:space="preserve"> </w:t>
      </w:r>
      <w:r w:rsidRPr="0059083D">
        <w:rPr>
          <w:lang w:val="fr-CA"/>
        </w:rPr>
        <w:t xml:space="preserve">dont </w:t>
      </w:r>
      <w:r w:rsidR="005561E0">
        <w:rPr>
          <w:lang w:val="fr-CA"/>
        </w:rPr>
        <w:t xml:space="preserve">sont propriétaires </w:t>
      </w:r>
      <w:r w:rsidRPr="0059083D">
        <w:rPr>
          <w:lang w:val="fr-CA"/>
        </w:rPr>
        <w:t xml:space="preserve">toutes les Personnes </w:t>
      </w:r>
      <w:r w:rsidR="005561E0">
        <w:rPr>
          <w:lang w:val="fr-CA"/>
        </w:rPr>
        <w:t>incluse</w:t>
      </w:r>
      <w:r w:rsidR="00D03A83">
        <w:rPr>
          <w:lang w:val="fr-CA"/>
        </w:rPr>
        <w:t>s</w:t>
      </w:r>
      <w:r w:rsidR="005561E0">
        <w:rPr>
          <w:lang w:val="fr-CA"/>
        </w:rPr>
        <w:t xml:space="preserve"> dans la présente définition d’un </w:t>
      </w:r>
      <w:r w:rsidR="000B08F2" w:rsidRPr="0059083D">
        <w:rPr>
          <w:lang w:val="fr-CA"/>
        </w:rPr>
        <w:t>« </w:t>
      </w:r>
      <w:r w:rsidRPr="0059083D">
        <w:rPr>
          <w:lang w:val="fr-CA"/>
        </w:rPr>
        <w:t>Porteur vendeur</w:t>
      </w:r>
      <w:r w:rsidR="000B08F2" w:rsidRPr="0059083D">
        <w:rPr>
          <w:lang w:val="fr-CA"/>
        </w:rPr>
        <w:t> ».</w:t>
      </w:r>
      <w:bookmarkEnd w:id="119"/>
    </w:p>
    <w:p w14:paraId="5B790972" w14:textId="7FC028CF" w:rsidR="00037C7E" w:rsidRPr="009A4650" w:rsidRDefault="0006561D">
      <w:pPr>
        <w:pStyle w:val="StandardL3"/>
        <w:rPr>
          <w:lang w:val="fr-CA"/>
        </w:rPr>
      </w:pPr>
      <w:bookmarkStart w:id="125" w:name="_Ref448380558"/>
      <w:r w:rsidRPr="0059083D">
        <w:rPr>
          <w:lang w:val="fr-CA"/>
        </w:rPr>
        <w:t xml:space="preserve">Pour l’application du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_Ref448380548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w:t>
      </w:r>
      <w:r w:rsidR="000B08F2" w:rsidRPr="00986BEB">
        <w:rPr>
          <w:u w:val="single"/>
          <w:lang w:val="fr-CA"/>
        </w:rPr>
        <w:fldChar w:fldCharType="end"/>
      </w:r>
      <w:r w:rsidR="000B08F2" w:rsidRPr="0059083D">
        <w:rPr>
          <w:lang w:val="fr-CA"/>
        </w:rPr>
        <w:t xml:space="preserve">, </w:t>
      </w:r>
      <w:r w:rsidRPr="0059083D">
        <w:rPr>
          <w:lang w:val="fr-CA"/>
        </w:rPr>
        <w:t xml:space="preserve">une inscription n’est pas considérée comme </w:t>
      </w:r>
      <w:r w:rsidR="000B08F2" w:rsidRPr="0059083D">
        <w:rPr>
          <w:lang w:val="fr-CA"/>
        </w:rPr>
        <w:t>« </w:t>
      </w:r>
      <w:r w:rsidRPr="0059083D">
        <w:rPr>
          <w:lang w:val="fr-CA"/>
        </w:rPr>
        <w:t>effectuée </w:t>
      </w:r>
      <w:r w:rsidR="000B08F2" w:rsidRPr="0059083D">
        <w:rPr>
          <w:lang w:val="fr-CA"/>
        </w:rPr>
        <w:t xml:space="preserve">» </w:t>
      </w:r>
      <w:r w:rsidRPr="0059083D">
        <w:rPr>
          <w:lang w:val="fr-CA"/>
        </w:rPr>
        <w:t xml:space="preserve">si, en conséquence de l’exercice du </w:t>
      </w:r>
      <w:r w:rsidRPr="009A4650">
        <w:rPr>
          <w:lang w:val="fr-CA"/>
        </w:rPr>
        <w:t>droit de réduction des preneurs fermes prévu à l’</w:t>
      </w:r>
      <w:r w:rsidRPr="009A4650">
        <w:rPr>
          <w:u w:val="single"/>
          <w:lang w:val="fr-CA"/>
        </w:rPr>
        <w:t>alinéa </w:t>
      </w:r>
      <w:r w:rsidR="000B08F2" w:rsidRPr="009A4650">
        <w:rPr>
          <w:u w:val="single"/>
          <w:lang w:val="fr-CA"/>
        </w:rPr>
        <w:fldChar w:fldCharType="begin"/>
      </w:r>
      <w:r w:rsidR="000B08F2" w:rsidRPr="009A4650">
        <w:rPr>
          <w:u w:val="single"/>
          <w:lang w:val="fr-CA"/>
        </w:rPr>
        <w:instrText xml:space="preserve">  REF _Ref448380556 \w \h \* MERGEFORMAT </w:instrText>
      </w:r>
      <w:r w:rsidR="000B08F2" w:rsidRPr="009A4650">
        <w:rPr>
          <w:u w:val="single"/>
          <w:lang w:val="fr-CA"/>
        </w:rPr>
      </w:r>
      <w:r w:rsidR="000B08F2" w:rsidRPr="009A4650">
        <w:rPr>
          <w:u w:val="single"/>
          <w:lang w:val="fr-CA"/>
        </w:rPr>
        <w:fldChar w:fldCharType="separate"/>
      </w:r>
      <w:r w:rsidR="00AE1D96" w:rsidRPr="00AE1D96">
        <w:rPr>
          <w:color w:val="000000"/>
          <w:u w:val="single"/>
          <w:lang w:val="fr-CA"/>
        </w:rPr>
        <w:t>2.3a)</w:t>
      </w:r>
      <w:r w:rsidR="000B08F2" w:rsidRPr="009A4650">
        <w:rPr>
          <w:u w:val="single"/>
          <w:lang w:val="fr-CA"/>
        </w:rPr>
        <w:fldChar w:fldCharType="end"/>
      </w:r>
      <w:r w:rsidR="000B08F2" w:rsidRPr="009A4650">
        <w:rPr>
          <w:lang w:val="fr-CA"/>
        </w:rPr>
        <w:t xml:space="preserve">, </w:t>
      </w:r>
      <w:r w:rsidR="0005791A" w:rsidRPr="009A4650">
        <w:rPr>
          <w:lang w:val="fr-CA"/>
        </w:rPr>
        <w:t xml:space="preserve">moins de </w:t>
      </w:r>
      <w:r w:rsidR="000B08F2" w:rsidRPr="009A4650">
        <w:rPr>
          <w:lang w:val="fr-CA"/>
        </w:rPr>
        <w:t>[</w:t>
      </w:r>
      <w:r w:rsidR="0005791A" w:rsidRPr="009A4650">
        <w:rPr>
          <w:lang w:val="fr-CA"/>
        </w:rPr>
        <w:t xml:space="preserve">cinquante pour cent </w:t>
      </w:r>
      <w:r w:rsidR="000B08F2" w:rsidRPr="009A4650">
        <w:rPr>
          <w:lang w:val="fr-CA"/>
        </w:rPr>
        <w:t>(50</w:t>
      </w:r>
      <w:r w:rsidR="0005791A" w:rsidRPr="009A4650">
        <w:rPr>
          <w:lang w:val="fr-CA"/>
        </w:rPr>
        <w:t> </w:t>
      </w:r>
      <w:r w:rsidR="000B08F2" w:rsidRPr="009A4650">
        <w:rPr>
          <w:lang w:val="fr-CA"/>
        </w:rPr>
        <w:t xml:space="preserve">%)] </w:t>
      </w:r>
      <w:r w:rsidR="0005791A" w:rsidRPr="009A4650">
        <w:rPr>
          <w:lang w:val="fr-CA"/>
        </w:rPr>
        <w:t xml:space="preserve">du nombre total de </w:t>
      </w:r>
      <w:r w:rsidRPr="009A4650">
        <w:rPr>
          <w:lang w:val="fr-CA"/>
        </w:rPr>
        <w:t>Titres à inscrire</w:t>
      </w:r>
      <w:r w:rsidR="000B08F2" w:rsidRPr="009A4650">
        <w:rPr>
          <w:lang w:val="fr-CA"/>
        </w:rPr>
        <w:t xml:space="preserve"> </w:t>
      </w:r>
      <w:r w:rsidR="0005791A" w:rsidRPr="009A4650">
        <w:rPr>
          <w:lang w:val="fr-CA"/>
        </w:rPr>
        <w:t xml:space="preserve">que les </w:t>
      </w:r>
      <w:r w:rsidR="00E043C9" w:rsidRPr="009A4650">
        <w:rPr>
          <w:lang w:val="fr-CA"/>
        </w:rPr>
        <w:t>Porteurs</w:t>
      </w:r>
      <w:r w:rsidR="000B08F2" w:rsidRPr="009A4650">
        <w:rPr>
          <w:lang w:val="fr-CA"/>
        </w:rPr>
        <w:t xml:space="preserve"> </w:t>
      </w:r>
      <w:r w:rsidR="0005791A" w:rsidRPr="009A4650">
        <w:rPr>
          <w:lang w:val="fr-CA"/>
        </w:rPr>
        <w:t xml:space="preserve">ont demandé d’inclure dans la </w:t>
      </w:r>
      <w:r w:rsidR="002A0F83" w:rsidRPr="009A4650">
        <w:rPr>
          <w:lang w:val="fr-CA"/>
        </w:rPr>
        <w:t>déclaration d’inscription</w:t>
      </w:r>
      <w:r w:rsidR="000B08F2" w:rsidRPr="009A4650">
        <w:rPr>
          <w:lang w:val="fr-CA"/>
        </w:rPr>
        <w:t xml:space="preserve"> </w:t>
      </w:r>
      <w:r w:rsidR="0005791A" w:rsidRPr="009A4650">
        <w:rPr>
          <w:lang w:val="fr-CA"/>
        </w:rPr>
        <w:t xml:space="preserve">sont </w:t>
      </w:r>
      <w:r w:rsidR="001F7C54" w:rsidRPr="009A4650">
        <w:rPr>
          <w:lang w:val="fr-CA"/>
        </w:rPr>
        <w:t>effectivement</w:t>
      </w:r>
      <w:r w:rsidR="0005791A" w:rsidRPr="009A4650">
        <w:rPr>
          <w:lang w:val="fr-CA"/>
        </w:rPr>
        <w:t xml:space="preserve"> inclus</w:t>
      </w:r>
      <w:r w:rsidR="000B08F2" w:rsidRPr="009A4650">
        <w:rPr>
          <w:lang w:val="fr-CA"/>
        </w:rPr>
        <w:t>.</w:t>
      </w:r>
      <w:bookmarkEnd w:id="125"/>
    </w:p>
    <w:p w14:paraId="4D6C4A6E" w14:textId="704460FB" w:rsidR="00037C7E" w:rsidRPr="009A4650" w:rsidRDefault="000B08F2">
      <w:pPr>
        <w:pStyle w:val="StandardL2"/>
        <w:rPr>
          <w:lang w:val="fr-CA"/>
        </w:rPr>
      </w:pPr>
      <w:bookmarkStart w:id="126" w:name="_Ref448380559"/>
      <w:bookmarkStart w:id="127" w:name="_Toc132874720"/>
      <w:r w:rsidRPr="009A4650">
        <w:rPr>
          <w:lang w:val="fr-CA"/>
        </w:rPr>
        <w:t>Obligations de la Société</w:t>
      </w:r>
      <w:r w:rsidRPr="009A4650">
        <w:rPr>
          <w:snapToGrid w:val="0"/>
          <w:lang w:val="fr-CA"/>
        </w:rPr>
        <w:t>.</w:t>
      </w:r>
      <w:bookmarkEnd w:id="126"/>
      <w:bookmarkEnd w:id="127"/>
    </w:p>
    <w:p w14:paraId="4E704D01" w14:textId="087B8082" w:rsidR="00037C7E" w:rsidRPr="009A4650" w:rsidRDefault="00A4142A">
      <w:pPr>
        <w:pStyle w:val="StandardCont2"/>
        <w:rPr>
          <w:lang w:val="fr-CA"/>
        </w:rPr>
      </w:pPr>
      <w:r w:rsidRPr="009A4650">
        <w:rPr>
          <w:snapToGrid w:val="0"/>
          <w:lang w:val="fr-CA"/>
        </w:rPr>
        <w:t xml:space="preserve">Lorsque la Société a l’obligation d’effectuer </w:t>
      </w:r>
      <w:r w:rsidR="006740E2" w:rsidRPr="009A4650">
        <w:rPr>
          <w:snapToGrid w:val="0"/>
          <w:lang w:val="fr-CA"/>
        </w:rPr>
        <w:t xml:space="preserve">une </w:t>
      </w:r>
      <w:r w:rsidRPr="009A4650">
        <w:rPr>
          <w:snapToGrid w:val="0"/>
          <w:lang w:val="fr-CA"/>
        </w:rPr>
        <w:t xml:space="preserve">inscription de Titres à inscrire aux termes du présent </w:t>
      </w:r>
      <w:r w:rsidRPr="009A4650">
        <w:rPr>
          <w:snapToGrid w:val="0"/>
          <w:u w:val="single"/>
          <w:lang w:val="fr-CA"/>
        </w:rPr>
        <w:t>article</w:t>
      </w:r>
      <w:bookmarkStart w:id="128" w:name="DocXTextRef93"/>
      <w:r w:rsidRPr="009A4650">
        <w:rPr>
          <w:snapToGrid w:val="0"/>
          <w:u w:val="single"/>
          <w:lang w:val="fr-CA"/>
        </w:rPr>
        <w:t> </w:t>
      </w:r>
      <w:r w:rsidR="000B08F2" w:rsidRPr="009A4650">
        <w:rPr>
          <w:snapToGrid w:val="0"/>
          <w:u w:val="single"/>
          <w:lang w:val="fr-CA"/>
        </w:rPr>
        <w:fldChar w:fldCharType="begin"/>
      </w:r>
      <w:r w:rsidR="000B08F2" w:rsidRPr="009A4650">
        <w:rPr>
          <w:snapToGrid w:val="0"/>
          <w:u w:val="single"/>
          <w:lang w:val="fr-CA"/>
        </w:rPr>
        <w:instrText xml:space="preserve"> REF _Ref448381407 \w \h </w:instrText>
      </w:r>
      <w:r w:rsidR="009A4650">
        <w:rPr>
          <w:snapToGrid w:val="0"/>
          <w:u w:val="single"/>
          <w:lang w:val="fr-CA"/>
        </w:rPr>
        <w:instrText xml:space="preserve"> \* MERGEFORMAT </w:instrText>
      </w:r>
      <w:r w:rsidR="000B08F2" w:rsidRPr="009A4650">
        <w:rPr>
          <w:snapToGrid w:val="0"/>
          <w:u w:val="single"/>
          <w:lang w:val="fr-CA"/>
        </w:rPr>
      </w:r>
      <w:r w:rsidR="000B08F2" w:rsidRPr="009A4650">
        <w:rPr>
          <w:snapToGrid w:val="0"/>
          <w:u w:val="single"/>
          <w:lang w:val="fr-CA"/>
        </w:rPr>
        <w:fldChar w:fldCharType="separate"/>
      </w:r>
      <w:r w:rsidR="00AE1D96">
        <w:rPr>
          <w:snapToGrid w:val="0"/>
          <w:u w:val="single"/>
          <w:lang w:val="fr-CA"/>
        </w:rPr>
        <w:t>2</w:t>
      </w:r>
      <w:r w:rsidR="000B08F2" w:rsidRPr="009A4650">
        <w:rPr>
          <w:snapToGrid w:val="0"/>
          <w:u w:val="single"/>
          <w:lang w:val="fr-CA"/>
        </w:rPr>
        <w:fldChar w:fldCharType="end"/>
      </w:r>
      <w:bookmarkEnd w:id="128"/>
      <w:r w:rsidR="000B08F2" w:rsidRPr="009A4650">
        <w:rPr>
          <w:snapToGrid w:val="0"/>
          <w:lang w:val="fr-CA"/>
        </w:rPr>
        <w:t xml:space="preserve">, </w:t>
      </w:r>
      <w:r w:rsidR="006A164F" w:rsidRPr="009A4650">
        <w:rPr>
          <w:snapToGrid w:val="0"/>
          <w:lang w:val="fr-CA"/>
        </w:rPr>
        <w:t>elle</w:t>
      </w:r>
      <w:r w:rsidR="000B08F2" w:rsidRPr="009A4650">
        <w:rPr>
          <w:snapToGrid w:val="0"/>
          <w:lang w:val="fr-CA"/>
        </w:rPr>
        <w:t xml:space="preserve"> </w:t>
      </w:r>
      <w:r w:rsidRPr="009A4650">
        <w:rPr>
          <w:snapToGrid w:val="0"/>
          <w:lang w:val="fr-CA"/>
        </w:rPr>
        <w:t>doit, dans les meilleurs délais</w:t>
      </w:r>
      <w:bookmarkStart w:id="129" w:name="_Ref448380691"/>
      <w:r w:rsidR="000B08F2" w:rsidRPr="009A4650">
        <w:rPr>
          <w:rStyle w:val="FootnoteReference"/>
          <w:snapToGrid w:val="0"/>
          <w:lang w:val="fr-CA"/>
        </w:rPr>
        <w:footnoteReference w:id="22"/>
      </w:r>
      <w:bookmarkEnd w:id="129"/>
      <w:r w:rsidRPr="009A4650">
        <w:rPr>
          <w:snapToGrid w:val="0"/>
          <w:lang w:val="fr-CA"/>
        </w:rPr>
        <w:t> :</w:t>
      </w:r>
    </w:p>
    <w:p w14:paraId="4547008C" w14:textId="2A1723AE" w:rsidR="00037C7E" w:rsidRPr="00986BEB" w:rsidRDefault="00A4142A">
      <w:pPr>
        <w:pStyle w:val="StandardL3"/>
        <w:rPr>
          <w:lang w:val="fr-CA"/>
        </w:rPr>
      </w:pPr>
      <w:bookmarkStart w:id="130" w:name="_Ref448380560"/>
      <w:r w:rsidRPr="009A4650">
        <w:rPr>
          <w:lang w:val="fr-CA"/>
        </w:rPr>
        <w:t xml:space="preserve">préparer et déposer auprès de la </w:t>
      </w:r>
      <w:r w:rsidR="000B08F2" w:rsidRPr="009A4650">
        <w:rPr>
          <w:lang w:val="fr-CA"/>
        </w:rPr>
        <w:t xml:space="preserve">SEC et/ou </w:t>
      </w:r>
      <w:r w:rsidRPr="009A4650">
        <w:rPr>
          <w:lang w:val="fr-CA"/>
        </w:rPr>
        <w:t xml:space="preserve">des autorités en valeurs mobilières canadiennes, selon le cas, une </w:t>
      </w:r>
      <w:r w:rsidR="002A0F83" w:rsidRPr="009A4650">
        <w:rPr>
          <w:lang w:val="fr-CA"/>
        </w:rPr>
        <w:t>déclaration d’inscription</w:t>
      </w:r>
      <w:r w:rsidR="000B08F2" w:rsidRPr="009A4650">
        <w:rPr>
          <w:lang w:val="fr-CA"/>
        </w:rPr>
        <w:t xml:space="preserve"> </w:t>
      </w:r>
      <w:r w:rsidRPr="009A4650">
        <w:rPr>
          <w:lang w:val="fr-CA"/>
        </w:rPr>
        <w:t xml:space="preserve">à l’égard de ces </w:t>
      </w:r>
      <w:r w:rsidR="0006561D" w:rsidRPr="009A4650">
        <w:rPr>
          <w:lang w:val="fr-CA"/>
        </w:rPr>
        <w:t>Titres à inscrire</w:t>
      </w:r>
      <w:r w:rsidR="000B08F2" w:rsidRPr="009A4650">
        <w:rPr>
          <w:lang w:val="fr-CA"/>
        </w:rPr>
        <w:t xml:space="preserve"> </w:t>
      </w:r>
      <w:r w:rsidRPr="009A4650">
        <w:rPr>
          <w:lang w:val="fr-CA"/>
        </w:rPr>
        <w:t>et déployer des efforts raisonnables sur le plan commercial</w:t>
      </w:r>
      <w:bookmarkStart w:id="131" w:name="_Ref448380692"/>
      <w:r w:rsidR="000B08F2" w:rsidRPr="009A4650">
        <w:rPr>
          <w:rStyle w:val="FootnoteReference"/>
          <w:lang w:val="fr-CA"/>
        </w:rPr>
        <w:footnoteReference w:id="23"/>
      </w:r>
      <w:bookmarkEnd w:id="131"/>
      <w:r w:rsidR="000B08F2" w:rsidRPr="009A4650">
        <w:rPr>
          <w:lang w:val="fr-CA"/>
        </w:rPr>
        <w:t xml:space="preserve"> </w:t>
      </w:r>
      <w:r w:rsidRPr="009A4650">
        <w:rPr>
          <w:lang w:val="fr-CA"/>
        </w:rPr>
        <w:t xml:space="preserve">pour que cette </w:t>
      </w:r>
      <w:r w:rsidR="002A0F83" w:rsidRPr="009A4650">
        <w:rPr>
          <w:lang w:val="fr-CA"/>
        </w:rPr>
        <w:t>déclaration d’inscription</w:t>
      </w:r>
      <w:r w:rsidRPr="009A4650">
        <w:rPr>
          <w:lang w:val="fr-CA"/>
        </w:rPr>
        <w:t xml:space="preserve"> entre en vigueur et</w:t>
      </w:r>
      <w:r w:rsidR="000B08F2" w:rsidRPr="009A4650">
        <w:rPr>
          <w:lang w:val="fr-CA"/>
        </w:rPr>
        <w:t xml:space="preserve">, </w:t>
      </w:r>
      <w:r w:rsidRPr="009A4650">
        <w:rPr>
          <w:lang w:val="fr-CA"/>
        </w:rPr>
        <w:t xml:space="preserve">à la demande des </w:t>
      </w:r>
      <w:r w:rsidR="00E043C9" w:rsidRPr="009A4650">
        <w:rPr>
          <w:lang w:val="fr-CA"/>
        </w:rPr>
        <w:t>Porteurs</w:t>
      </w:r>
      <w:r w:rsidR="000B08F2" w:rsidRPr="009A4650">
        <w:rPr>
          <w:lang w:val="fr-CA"/>
        </w:rPr>
        <w:t xml:space="preserve"> </w:t>
      </w:r>
      <w:r w:rsidRPr="009A4650">
        <w:rPr>
          <w:lang w:val="fr-CA"/>
        </w:rPr>
        <w:t xml:space="preserve">de la majorité </w:t>
      </w:r>
      <w:r w:rsidR="000B08F2" w:rsidRPr="009A4650">
        <w:rPr>
          <w:lang w:val="fr-CA"/>
        </w:rPr>
        <w:t xml:space="preserve">des </w:t>
      </w:r>
      <w:r w:rsidR="0006561D" w:rsidRPr="009A4650">
        <w:rPr>
          <w:lang w:val="fr-CA"/>
        </w:rPr>
        <w:t>Titres à inscrire</w:t>
      </w:r>
      <w:r w:rsidR="000B08F2" w:rsidRPr="009A4650">
        <w:rPr>
          <w:lang w:val="fr-CA"/>
        </w:rPr>
        <w:t xml:space="preserve"> </w:t>
      </w:r>
      <w:r w:rsidRPr="009A4650">
        <w:rPr>
          <w:lang w:val="fr-CA"/>
        </w:rPr>
        <w:t>visés</w:t>
      </w:r>
      <w:r w:rsidRPr="0059083D">
        <w:rPr>
          <w:lang w:val="fr-CA"/>
        </w:rPr>
        <w:t xml:space="preserve"> par cette </w:t>
      </w:r>
      <w:r w:rsidR="002F69AB">
        <w:rPr>
          <w:lang w:val="fr-CA"/>
        </w:rPr>
        <w:t>déclaration</w:t>
      </w:r>
      <w:r w:rsidRPr="0059083D">
        <w:rPr>
          <w:lang w:val="fr-CA"/>
        </w:rPr>
        <w:t xml:space="preserve"> d’inscription</w:t>
      </w:r>
      <w:r w:rsidR="000B08F2" w:rsidRPr="0059083D">
        <w:rPr>
          <w:lang w:val="fr-CA"/>
        </w:rPr>
        <w:t xml:space="preserve">, </w:t>
      </w:r>
      <w:r w:rsidR="002F69AB">
        <w:rPr>
          <w:lang w:val="fr-CA"/>
        </w:rPr>
        <w:t xml:space="preserve">pour </w:t>
      </w:r>
      <w:r w:rsidR="00253F9C">
        <w:rPr>
          <w:lang w:val="fr-CA"/>
        </w:rPr>
        <w:t xml:space="preserve">qu’elle soit maintenue </w:t>
      </w:r>
      <w:r w:rsidRPr="0059083D">
        <w:rPr>
          <w:lang w:val="fr-CA"/>
        </w:rPr>
        <w:t>en vigueur pendant une période d’a</w:t>
      </w:r>
      <w:r w:rsidR="002E1624" w:rsidRPr="0059083D">
        <w:rPr>
          <w:lang w:val="fr-CA"/>
        </w:rPr>
        <w:t xml:space="preserve">u plus cent vingt </w:t>
      </w:r>
      <w:r w:rsidR="000B08F2" w:rsidRPr="0059083D">
        <w:rPr>
          <w:lang w:val="fr-CA"/>
        </w:rPr>
        <w:t>(</w:t>
      </w:r>
      <w:r w:rsidR="000B08F2" w:rsidRPr="00986BEB">
        <w:rPr>
          <w:lang w:val="fr-CA"/>
        </w:rPr>
        <w:t>120</w:t>
      </w:r>
      <w:r w:rsidR="000B08F2" w:rsidRPr="0059083D">
        <w:rPr>
          <w:lang w:val="fr-CA"/>
        </w:rPr>
        <w:t>)</w:t>
      </w:r>
      <w:r w:rsidR="002E1624" w:rsidRPr="0059083D">
        <w:rPr>
          <w:lang w:val="fr-CA"/>
        </w:rPr>
        <w:t> jours ou, s</w:t>
      </w:r>
      <w:r w:rsidR="00253F9C">
        <w:rPr>
          <w:lang w:val="fr-CA"/>
        </w:rPr>
        <w:t xml:space="preserve">i le </w:t>
      </w:r>
      <w:r w:rsidR="00253F9C" w:rsidRPr="0059083D">
        <w:rPr>
          <w:lang w:val="fr-CA"/>
        </w:rPr>
        <w:t>placement visé par la déclaration d’inscription</w:t>
      </w:r>
      <w:r w:rsidR="00253F9C">
        <w:rPr>
          <w:lang w:val="fr-CA"/>
        </w:rPr>
        <w:t xml:space="preserve"> </w:t>
      </w:r>
      <w:r w:rsidR="002F69AB">
        <w:rPr>
          <w:lang w:val="fr-CA"/>
        </w:rPr>
        <w:t xml:space="preserve">est réalisé avant </w:t>
      </w:r>
      <w:r w:rsidR="000D3F35">
        <w:rPr>
          <w:lang w:val="fr-CA"/>
        </w:rPr>
        <w:t>l’expiration</w:t>
      </w:r>
      <w:r w:rsidR="002F69AB">
        <w:rPr>
          <w:lang w:val="fr-CA"/>
        </w:rPr>
        <w:t xml:space="preserve"> de cette période</w:t>
      </w:r>
      <w:r w:rsidR="002E1624" w:rsidRPr="0059083D">
        <w:rPr>
          <w:lang w:val="fr-CA"/>
        </w:rPr>
        <w:t xml:space="preserve">, jusqu’à la réalisation </w:t>
      </w:r>
      <w:r w:rsidR="00253F9C">
        <w:rPr>
          <w:lang w:val="fr-CA"/>
        </w:rPr>
        <w:t>de ce placement</w:t>
      </w:r>
      <w:r w:rsidR="000B08F2" w:rsidRPr="0059083D">
        <w:rPr>
          <w:lang w:val="fr-CA"/>
        </w:rPr>
        <w:t xml:space="preserve">; </w:t>
      </w:r>
      <w:r w:rsidR="002E1624" w:rsidRPr="0059083D">
        <w:rPr>
          <w:u w:val="single"/>
          <w:lang w:val="fr-CA"/>
        </w:rPr>
        <w:t>il est entendu</w:t>
      </w:r>
      <w:r w:rsidR="000B08F2" w:rsidRPr="0059083D">
        <w:rPr>
          <w:lang w:val="fr-CA"/>
        </w:rPr>
        <w:t xml:space="preserve">, </w:t>
      </w:r>
      <w:r w:rsidR="002E1624" w:rsidRPr="0059083D">
        <w:rPr>
          <w:u w:val="single"/>
          <w:lang w:val="fr-CA"/>
        </w:rPr>
        <w:t>toutefois</w:t>
      </w:r>
      <w:r w:rsidR="000B08F2" w:rsidRPr="0059083D">
        <w:rPr>
          <w:lang w:val="fr-CA"/>
        </w:rPr>
        <w:t xml:space="preserve">, </w:t>
      </w:r>
      <w:r w:rsidR="002E1624" w:rsidRPr="0059083D">
        <w:rPr>
          <w:lang w:val="fr-CA"/>
        </w:rPr>
        <w:t xml:space="preserve">que </w:t>
      </w:r>
      <w:bookmarkStart w:id="132" w:name="DocXTextRef94"/>
      <w:r w:rsidR="000B08F2" w:rsidRPr="0059083D">
        <w:rPr>
          <w:lang w:val="fr-CA"/>
        </w:rPr>
        <w:t>(</w:t>
      </w:r>
      <w:r w:rsidR="000B08F2" w:rsidRPr="00986BEB">
        <w:rPr>
          <w:lang w:val="fr-CA"/>
        </w:rPr>
        <w:t>i</w:t>
      </w:r>
      <w:r w:rsidR="000B08F2" w:rsidRPr="0059083D">
        <w:rPr>
          <w:lang w:val="fr-CA"/>
        </w:rPr>
        <w:t>)</w:t>
      </w:r>
      <w:bookmarkEnd w:id="132"/>
      <w:r w:rsidR="002E1624" w:rsidRPr="0059083D">
        <w:rPr>
          <w:lang w:val="fr-CA"/>
        </w:rPr>
        <w:t> cette période de cent vingt jours (</w:t>
      </w:r>
      <w:r w:rsidR="002E1624" w:rsidRPr="00986BEB">
        <w:rPr>
          <w:lang w:val="fr-CA"/>
        </w:rPr>
        <w:t>120</w:t>
      </w:r>
      <w:r w:rsidR="002E1624" w:rsidRPr="0059083D">
        <w:rPr>
          <w:lang w:val="fr-CA"/>
        </w:rPr>
        <w:t xml:space="preserve">) jours </w:t>
      </w:r>
      <w:r w:rsidR="00253F9C">
        <w:rPr>
          <w:lang w:val="fr-CA"/>
        </w:rPr>
        <w:t>doit</w:t>
      </w:r>
      <w:r w:rsidR="002E1624" w:rsidRPr="0059083D">
        <w:rPr>
          <w:lang w:val="fr-CA"/>
        </w:rPr>
        <w:t xml:space="preserve"> être prolongée </w:t>
      </w:r>
      <w:r w:rsidR="001A484F" w:rsidRPr="0059083D">
        <w:rPr>
          <w:lang w:val="fr-CA"/>
        </w:rPr>
        <w:t xml:space="preserve">d’une durée égale à la </w:t>
      </w:r>
      <w:r w:rsidR="002E1624" w:rsidRPr="0059083D">
        <w:rPr>
          <w:lang w:val="fr-CA"/>
        </w:rPr>
        <w:t xml:space="preserve">période </w:t>
      </w:r>
      <w:r w:rsidR="001A484F" w:rsidRPr="0059083D">
        <w:rPr>
          <w:lang w:val="fr-CA"/>
        </w:rPr>
        <w:t>pendant laquelle le Porteur s’abstient, à la demande d</w:t>
      </w:r>
      <w:r w:rsidR="00253F9C">
        <w:rPr>
          <w:lang w:val="fr-CA"/>
        </w:rPr>
        <w:t>’un</w:t>
      </w:r>
      <w:r w:rsidR="001A484F" w:rsidRPr="0059083D">
        <w:rPr>
          <w:lang w:val="fr-CA"/>
        </w:rPr>
        <w:t xml:space="preserve"> preneur ferme d’Actions ordinaires </w:t>
      </w:r>
      <w:r w:rsidR="000B08F2" w:rsidRPr="0059083D">
        <w:rPr>
          <w:lang w:val="fr-CA"/>
        </w:rPr>
        <w:t>(</w:t>
      </w:r>
      <w:r w:rsidR="001A484F" w:rsidRPr="0059083D">
        <w:rPr>
          <w:lang w:val="fr-CA"/>
        </w:rPr>
        <w:t>ou d’autres titres</w:t>
      </w:r>
      <w:r w:rsidR="000B08F2" w:rsidRPr="0059083D">
        <w:rPr>
          <w:lang w:val="fr-CA"/>
        </w:rPr>
        <w:t xml:space="preserve">) de la Société, </w:t>
      </w:r>
      <w:r w:rsidR="001A484F" w:rsidRPr="0059083D">
        <w:rPr>
          <w:lang w:val="fr-CA"/>
        </w:rPr>
        <w:t xml:space="preserve">de vendre des titres </w:t>
      </w:r>
      <w:r w:rsidR="000D3F35">
        <w:rPr>
          <w:lang w:val="fr-CA"/>
        </w:rPr>
        <w:t xml:space="preserve">inclus dans </w:t>
      </w:r>
      <w:r w:rsidR="001A484F" w:rsidRPr="0059083D">
        <w:rPr>
          <w:lang w:val="fr-CA"/>
        </w:rPr>
        <w:t>l’inscription</w:t>
      </w:r>
      <w:r w:rsidR="000B08F2" w:rsidRPr="0059083D">
        <w:rPr>
          <w:lang w:val="fr-CA"/>
        </w:rPr>
        <w:t xml:space="preserve">[, </w:t>
      </w:r>
      <w:r w:rsidR="00142D9C" w:rsidRPr="0059083D">
        <w:rPr>
          <w:lang w:val="fr-CA"/>
        </w:rPr>
        <w:t xml:space="preserve">et </w:t>
      </w:r>
      <w:bookmarkStart w:id="133" w:name="DocXTextRef95"/>
      <w:r w:rsidR="000B08F2" w:rsidRPr="0059083D">
        <w:rPr>
          <w:lang w:val="fr-CA"/>
        </w:rPr>
        <w:t>(</w:t>
      </w:r>
      <w:r w:rsidR="000B08F2" w:rsidRPr="00986BEB">
        <w:rPr>
          <w:lang w:val="fr-CA"/>
        </w:rPr>
        <w:t>ii</w:t>
      </w:r>
      <w:r w:rsidR="000B08F2" w:rsidRPr="0059083D">
        <w:rPr>
          <w:lang w:val="fr-CA"/>
        </w:rPr>
        <w:t>)</w:t>
      </w:r>
      <w:bookmarkEnd w:id="133"/>
      <w:r w:rsidR="00142D9C" w:rsidRPr="0059083D">
        <w:rPr>
          <w:lang w:val="fr-CA"/>
        </w:rPr>
        <w:t xml:space="preserve"> en cas d’inscription de </w:t>
      </w:r>
      <w:r w:rsidR="0006561D" w:rsidRPr="0059083D">
        <w:rPr>
          <w:lang w:val="fr-CA"/>
        </w:rPr>
        <w:t>Titres à inscrire</w:t>
      </w:r>
      <w:r w:rsidR="000B08F2" w:rsidRPr="0059083D">
        <w:rPr>
          <w:lang w:val="fr-CA"/>
        </w:rPr>
        <w:t xml:space="preserve"> </w:t>
      </w:r>
      <w:r w:rsidR="00142D9C" w:rsidRPr="0059083D">
        <w:rPr>
          <w:lang w:val="fr-CA"/>
        </w:rPr>
        <w:t xml:space="preserve">sur </w:t>
      </w:r>
      <w:r w:rsidR="00F52467" w:rsidRPr="0059083D">
        <w:rPr>
          <w:lang w:val="fr-CA"/>
        </w:rPr>
        <w:t>Formulaire S-</w:t>
      </w:r>
      <w:r w:rsidR="00F52467" w:rsidRPr="00986BEB">
        <w:rPr>
          <w:lang w:val="fr-CA"/>
        </w:rPr>
        <w:t>3</w:t>
      </w:r>
      <w:r w:rsidR="000B08F2" w:rsidRPr="0059083D">
        <w:rPr>
          <w:lang w:val="fr-CA"/>
        </w:rPr>
        <w:t xml:space="preserve"> </w:t>
      </w:r>
      <w:r w:rsidR="00142D9C" w:rsidRPr="0059083D">
        <w:rPr>
          <w:lang w:val="fr-CA"/>
        </w:rPr>
        <w:t xml:space="preserve">ou sur </w:t>
      </w:r>
      <w:r w:rsidR="00F52467" w:rsidRPr="0059083D">
        <w:rPr>
          <w:lang w:val="fr-CA"/>
        </w:rPr>
        <w:t>Formulaire F-</w:t>
      </w:r>
      <w:r w:rsidR="00F52467" w:rsidRPr="00986BEB">
        <w:rPr>
          <w:lang w:val="fr-CA"/>
        </w:rPr>
        <w:t>3</w:t>
      </w:r>
      <w:r w:rsidR="000B08F2" w:rsidRPr="0059083D">
        <w:rPr>
          <w:lang w:val="fr-CA"/>
        </w:rPr>
        <w:t xml:space="preserve"> </w:t>
      </w:r>
      <w:r w:rsidR="00142D9C" w:rsidRPr="0059083D">
        <w:rPr>
          <w:lang w:val="fr-CA"/>
        </w:rPr>
        <w:t xml:space="preserve">ou au moyen d’un prospectus simplifié canadien qui doivent être placés de façon </w:t>
      </w:r>
      <w:r w:rsidR="00253F9C">
        <w:rPr>
          <w:lang w:val="fr-CA"/>
        </w:rPr>
        <w:t>permanente</w:t>
      </w:r>
      <w:r w:rsidR="00142D9C" w:rsidRPr="0059083D">
        <w:rPr>
          <w:lang w:val="fr-CA"/>
        </w:rPr>
        <w:t xml:space="preserve"> ou différée, sous réserve du respect des règles de la</w:t>
      </w:r>
      <w:r w:rsidR="00A849D9">
        <w:rPr>
          <w:lang w:val="fr-CA"/>
        </w:rPr>
        <w:t> </w:t>
      </w:r>
      <w:r w:rsidR="000B08F2" w:rsidRPr="0059083D">
        <w:rPr>
          <w:lang w:val="fr-CA"/>
        </w:rPr>
        <w:t xml:space="preserve">SEC </w:t>
      </w:r>
      <w:r w:rsidR="00142D9C" w:rsidRPr="0059083D">
        <w:rPr>
          <w:lang w:val="fr-CA"/>
        </w:rPr>
        <w:t xml:space="preserve">et des </w:t>
      </w:r>
      <w:r w:rsidR="0006561D" w:rsidRPr="0059083D">
        <w:rPr>
          <w:lang w:val="fr-CA"/>
        </w:rPr>
        <w:t>Lois sur les valeurs mobilières canadiennes</w:t>
      </w:r>
      <w:r w:rsidR="00253F9C" w:rsidRPr="00253F9C">
        <w:rPr>
          <w:lang w:val="fr-CA"/>
        </w:rPr>
        <w:t xml:space="preserve"> </w:t>
      </w:r>
      <w:r w:rsidR="00253F9C" w:rsidRPr="0059083D">
        <w:rPr>
          <w:lang w:val="fr-CA"/>
        </w:rPr>
        <w:t>applicables</w:t>
      </w:r>
      <w:r w:rsidR="000B08F2" w:rsidRPr="0059083D">
        <w:rPr>
          <w:lang w:val="fr-CA"/>
        </w:rPr>
        <w:t xml:space="preserve">, </w:t>
      </w:r>
      <w:r w:rsidR="00C01F77" w:rsidRPr="0059083D">
        <w:rPr>
          <w:lang w:val="fr-CA"/>
        </w:rPr>
        <w:t>cette période de cent vingt jours (</w:t>
      </w:r>
      <w:r w:rsidR="00C01F77" w:rsidRPr="00986BEB">
        <w:rPr>
          <w:lang w:val="fr-CA"/>
        </w:rPr>
        <w:t>120</w:t>
      </w:r>
      <w:r w:rsidR="00C01F77" w:rsidRPr="0059083D">
        <w:rPr>
          <w:lang w:val="fr-CA"/>
        </w:rPr>
        <w:t xml:space="preserve">) jours </w:t>
      </w:r>
      <w:r w:rsidR="00253F9C">
        <w:rPr>
          <w:lang w:val="fr-CA"/>
        </w:rPr>
        <w:t xml:space="preserve">doit être </w:t>
      </w:r>
      <w:r w:rsidR="00C01F77" w:rsidRPr="0059083D">
        <w:rPr>
          <w:lang w:val="fr-CA"/>
        </w:rPr>
        <w:t xml:space="preserve">prolongée d’un maximum de </w:t>
      </w:r>
      <w:r w:rsidR="000B08F2" w:rsidRPr="0059083D">
        <w:rPr>
          <w:lang w:val="fr-CA"/>
        </w:rPr>
        <w:t>[_______]</w:t>
      </w:r>
      <w:r w:rsidR="00C01F77" w:rsidRPr="0059083D">
        <w:rPr>
          <w:lang w:val="fr-CA"/>
        </w:rPr>
        <w:t xml:space="preserve"> jours, au besoin, pour maintenir la </w:t>
      </w:r>
      <w:r w:rsidR="002A0F83" w:rsidRPr="0059083D">
        <w:rPr>
          <w:lang w:val="fr-CA"/>
        </w:rPr>
        <w:t>déclaration d’inscription</w:t>
      </w:r>
      <w:r w:rsidR="000B08F2" w:rsidRPr="0059083D">
        <w:rPr>
          <w:lang w:val="fr-CA"/>
        </w:rPr>
        <w:t xml:space="preserve"> </w:t>
      </w:r>
      <w:r w:rsidR="00C01F77" w:rsidRPr="0059083D">
        <w:rPr>
          <w:lang w:val="fr-CA"/>
        </w:rPr>
        <w:t xml:space="preserve">en vigueur jusqu’à ce que </w:t>
      </w:r>
      <w:r w:rsidR="000D3F35">
        <w:rPr>
          <w:lang w:val="fr-CA"/>
        </w:rPr>
        <w:t xml:space="preserve">tous </w:t>
      </w:r>
      <w:r w:rsidR="00C01F77" w:rsidRPr="0059083D">
        <w:rPr>
          <w:lang w:val="fr-CA"/>
        </w:rPr>
        <w:t xml:space="preserve">ces </w:t>
      </w:r>
      <w:r w:rsidR="0006561D" w:rsidRPr="0059083D">
        <w:rPr>
          <w:lang w:val="fr-CA"/>
        </w:rPr>
        <w:t>Titres à inscrire</w:t>
      </w:r>
      <w:r w:rsidR="000B08F2" w:rsidRPr="0059083D">
        <w:rPr>
          <w:lang w:val="fr-CA"/>
        </w:rPr>
        <w:t xml:space="preserve"> </w:t>
      </w:r>
      <w:r w:rsidR="00C01F77" w:rsidRPr="0059083D">
        <w:rPr>
          <w:lang w:val="fr-CA"/>
        </w:rPr>
        <w:t>soient vendus</w:t>
      </w:r>
      <w:r w:rsidR="000B08F2" w:rsidRPr="0059083D">
        <w:rPr>
          <w:lang w:val="fr-CA"/>
        </w:rPr>
        <w:t>];</w:t>
      </w:r>
      <w:bookmarkEnd w:id="130"/>
      <w:r w:rsidR="000D3F35">
        <w:rPr>
          <w:lang w:val="fr-CA"/>
        </w:rPr>
        <w:t xml:space="preserve"> </w:t>
      </w:r>
    </w:p>
    <w:p w14:paraId="4FECC4E3" w14:textId="548B960F" w:rsidR="00037C7E" w:rsidRPr="00986BEB" w:rsidRDefault="00A04807">
      <w:pPr>
        <w:pStyle w:val="StandardL3"/>
        <w:rPr>
          <w:lang w:val="fr-CA"/>
        </w:rPr>
      </w:pPr>
      <w:bookmarkStart w:id="134" w:name="_Ref448380561"/>
      <w:r w:rsidRPr="0059083D">
        <w:rPr>
          <w:lang w:val="fr-CA"/>
        </w:rPr>
        <w:t xml:space="preserve">préparer et déposer auprès de la </w:t>
      </w:r>
      <w:r w:rsidR="000B08F2" w:rsidRPr="0059083D">
        <w:rPr>
          <w:lang w:val="fr-CA"/>
        </w:rPr>
        <w:t xml:space="preserve">SEC </w:t>
      </w:r>
      <w:r w:rsidRPr="0059083D">
        <w:rPr>
          <w:lang w:val="fr-CA"/>
        </w:rPr>
        <w:t>et des autorités en valeurs mobilières canadiennes</w:t>
      </w:r>
      <w:r w:rsidR="000B08F2" w:rsidRPr="0059083D">
        <w:rPr>
          <w:lang w:val="fr-CA"/>
        </w:rPr>
        <w:t xml:space="preserve">, </w:t>
      </w:r>
      <w:r w:rsidRPr="0059083D">
        <w:rPr>
          <w:lang w:val="fr-CA"/>
        </w:rPr>
        <w:t xml:space="preserve">selon le cas, les modifications et suppléments </w:t>
      </w:r>
      <w:r w:rsidR="007F20AD">
        <w:rPr>
          <w:lang w:val="fr-CA"/>
        </w:rPr>
        <w:t xml:space="preserve">relatifs </w:t>
      </w:r>
      <w:r w:rsidRPr="0059083D">
        <w:rPr>
          <w:lang w:val="fr-CA"/>
        </w:rPr>
        <w:t xml:space="preserve">à cette </w:t>
      </w:r>
      <w:r w:rsidR="002A0F83" w:rsidRPr="0059083D">
        <w:rPr>
          <w:lang w:val="fr-CA"/>
        </w:rPr>
        <w:t>déclaration d’inscription</w:t>
      </w:r>
      <w:r w:rsidR="00981F95">
        <w:rPr>
          <w:lang w:val="fr-CA"/>
        </w:rPr>
        <w:t>,</w:t>
      </w:r>
      <w:r w:rsidR="000B08F2" w:rsidRPr="0059083D">
        <w:rPr>
          <w:lang w:val="fr-CA"/>
        </w:rPr>
        <w:t xml:space="preserve"> </w:t>
      </w:r>
      <w:r w:rsidRPr="0059083D">
        <w:rPr>
          <w:lang w:val="fr-CA"/>
        </w:rPr>
        <w:t xml:space="preserve">et le prospectus </w:t>
      </w:r>
      <w:r w:rsidR="0029722B">
        <w:rPr>
          <w:lang w:val="fr-CA"/>
        </w:rPr>
        <w:t>connexe</w:t>
      </w:r>
      <w:r w:rsidR="00981F95">
        <w:rPr>
          <w:lang w:val="fr-CA"/>
        </w:rPr>
        <w:t xml:space="preserve">, qui peuvent être nécessaires </w:t>
      </w:r>
      <w:r w:rsidRPr="0059083D">
        <w:rPr>
          <w:lang w:val="fr-CA"/>
        </w:rPr>
        <w:t xml:space="preserve">pour respecter la </w:t>
      </w:r>
      <w:r w:rsidR="00F52467" w:rsidRPr="0059083D">
        <w:rPr>
          <w:lang w:val="fr-CA"/>
        </w:rPr>
        <w:t xml:space="preserve">Loi de </w:t>
      </w:r>
      <w:r w:rsidR="00F52467" w:rsidRPr="00986BEB">
        <w:rPr>
          <w:lang w:val="fr-CA"/>
        </w:rPr>
        <w:t>1933</w:t>
      </w:r>
      <w:r w:rsidR="000B08F2" w:rsidRPr="0059083D">
        <w:rPr>
          <w:lang w:val="fr-CA"/>
        </w:rPr>
        <w:t xml:space="preserve"> </w:t>
      </w:r>
      <w:r w:rsidRPr="0059083D">
        <w:rPr>
          <w:lang w:val="fr-CA"/>
        </w:rPr>
        <w:t xml:space="preserve">et les </w:t>
      </w:r>
      <w:r w:rsidR="0006561D" w:rsidRPr="0059083D">
        <w:rPr>
          <w:lang w:val="fr-CA"/>
        </w:rPr>
        <w:t>Lois sur les valeurs mobilières canadiennes</w:t>
      </w:r>
      <w:r w:rsidR="000B08F2" w:rsidRPr="0059083D">
        <w:rPr>
          <w:lang w:val="fr-CA"/>
        </w:rPr>
        <w:t xml:space="preserve"> </w:t>
      </w:r>
      <w:r w:rsidRPr="0059083D">
        <w:rPr>
          <w:lang w:val="fr-CA"/>
        </w:rPr>
        <w:t xml:space="preserve">afin de permettre l’aliénation de tous les titres visés par cette </w:t>
      </w:r>
      <w:r w:rsidR="002A0F83" w:rsidRPr="0059083D">
        <w:rPr>
          <w:lang w:val="fr-CA"/>
        </w:rPr>
        <w:t>déclaration d’inscription</w:t>
      </w:r>
      <w:r w:rsidR="000B08F2" w:rsidRPr="0059083D">
        <w:rPr>
          <w:lang w:val="fr-CA"/>
        </w:rPr>
        <w:t>;</w:t>
      </w:r>
      <w:bookmarkEnd w:id="134"/>
      <w:r w:rsidR="00981F95">
        <w:rPr>
          <w:lang w:val="fr-CA"/>
        </w:rPr>
        <w:t xml:space="preserve"> </w:t>
      </w:r>
    </w:p>
    <w:p w14:paraId="494A23FD" w14:textId="5B16540F" w:rsidR="00037C7E" w:rsidRPr="00986BEB" w:rsidRDefault="00A04807">
      <w:pPr>
        <w:pStyle w:val="StandardL3"/>
        <w:rPr>
          <w:lang w:val="fr-CA"/>
        </w:rPr>
      </w:pPr>
      <w:bookmarkStart w:id="135" w:name="_Ref448380562"/>
      <w:r w:rsidRPr="0059083D">
        <w:rPr>
          <w:lang w:val="fr-CA"/>
        </w:rPr>
        <w:t xml:space="preserve">fournir aux </w:t>
      </w:r>
      <w:r w:rsidR="0006561D" w:rsidRPr="0059083D">
        <w:rPr>
          <w:lang w:val="fr-CA"/>
        </w:rPr>
        <w:t>Porteurs vendeurs</w:t>
      </w:r>
      <w:r w:rsidR="000B08F2" w:rsidRPr="0059083D">
        <w:rPr>
          <w:lang w:val="fr-CA"/>
        </w:rPr>
        <w:t xml:space="preserve"> </w:t>
      </w:r>
      <w:r w:rsidRPr="0059083D">
        <w:rPr>
          <w:lang w:val="fr-CA"/>
        </w:rPr>
        <w:t xml:space="preserve">le nombre d’exemplaires d’un </w:t>
      </w:r>
      <w:r w:rsidR="000B08F2" w:rsidRPr="0059083D">
        <w:rPr>
          <w:lang w:val="fr-CA"/>
        </w:rPr>
        <w:t xml:space="preserve">prospectus, </w:t>
      </w:r>
      <w:r w:rsidRPr="0059083D">
        <w:rPr>
          <w:lang w:val="fr-CA"/>
        </w:rPr>
        <w:t xml:space="preserve">y compris d’un </w:t>
      </w:r>
      <w:r w:rsidR="000B08F2" w:rsidRPr="0059083D">
        <w:rPr>
          <w:lang w:val="fr-CA"/>
        </w:rPr>
        <w:t>prospectus</w:t>
      </w:r>
      <w:r w:rsidRPr="0059083D">
        <w:rPr>
          <w:lang w:val="fr-CA"/>
        </w:rPr>
        <w:t xml:space="preserve"> provisoire</w:t>
      </w:r>
      <w:r w:rsidR="000B08F2" w:rsidRPr="0059083D">
        <w:rPr>
          <w:lang w:val="fr-CA"/>
        </w:rPr>
        <w:t xml:space="preserve">, </w:t>
      </w:r>
      <w:r w:rsidRPr="0059083D">
        <w:rPr>
          <w:lang w:val="fr-CA"/>
        </w:rPr>
        <w:t xml:space="preserve">exigé par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 xml:space="preserve">et les </w:t>
      </w:r>
      <w:r w:rsidR="0006561D" w:rsidRPr="0059083D">
        <w:rPr>
          <w:lang w:val="fr-CA"/>
        </w:rPr>
        <w:t>Lois sur les valeurs mobilières canadiennes</w:t>
      </w:r>
      <w:r w:rsidR="000B08F2" w:rsidRPr="0059083D">
        <w:rPr>
          <w:lang w:val="fr-CA"/>
        </w:rPr>
        <w:t xml:space="preserve">, </w:t>
      </w:r>
      <w:r w:rsidRPr="0059083D">
        <w:rPr>
          <w:lang w:val="fr-CA"/>
        </w:rPr>
        <w:t xml:space="preserve">ainsi que les autres </w:t>
      </w:r>
      <w:r w:rsidR="000B08F2" w:rsidRPr="0059083D">
        <w:rPr>
          <w:lang w:val="fr-CA"/>
        </w:rPr>
        <w:t xml:space="preserve">documents </w:t>
      </w:r>
      <w:r w:rsidR="007C4E71" w:rsidRPr="0059083D">
        <w:rPr>
          <w:lang w:val="fr-CA"/>
        </w:rPr>
        <w:t xml:space="preserve">que les </w:t>
      </w:r>
      <w:r w:rsidR="00E043C9" w:rsidRPr="0059083D">
        <w:rPr>
          <w:lang w:val="fr-CA"/>
        </w:rPr>
        <w:t>Porteurs</w:t>
      </w:r>
      <w:r w:rsidR="000B08F2" w:rsidRPr="0059083D">
        <w:rPr>
          <w:lang w:val="fr-CA"/>
        </w:rPr>
        <w:t xml:space="preserve"> </w:t>
      </w:r>
      <w:r w:rsidR="007C4E71" w:rsidRPr="0059083D">
        <w:rPr>
          <w:lang w:val="fr-CA"/>
        </w:rPr>
        <w:t>peuvent raisonnablement</w:t>
      </w:r>
      <w:r w:rsidR="000B08F2" w:rsidRPr="0059083D">
        <w:rPr>
          <w:lang w:val="fr-CA"/>
        </w:rPr>
        <w:t xml:space="preserve"> </w:t>
      </w:r>
      <w:r w:rsidR="007C4E71" w:rsidRPr="0059083D">
        <w:rPr>
          <w:lang w:val="fr-CA"/>
        </w:rPr>
        <w:t xml:space="preserve">demander pour faciliter l’aliénation de leurs </w:t>
      </w:r>
      <w:r w:rsidR="0006561D" w:rsidRPr="0059083D">
        <w:rPr>
          <w:lang w:val="fr-CA"/>
        </w:rPr>
        <w:t>Titres à inscrire</w:t>
      </w:r>
      <w:r w:rsidR="000B08F2" w:rsidRPr="0059083D">
        <w:rPr>
          <w:lang w:val="fr-CA"/>
        </w:rPr>
        <w:t>;</w:t>
      </w:r>
      <w:bookmarkEnd w:id="135"/>
    </w:p>
    <w:p w14:paraId="3C536D7D" w14:textId="073EDC72" w:rsidR="00037C7E" w:rsidRPr="00986BEB" w:rsidRDefault="00A4142A">
      <w:pPr>
        <w:pStyle w:val="StandardL3"/>
        <w:rPr>
          <w:lang w:val="fr-CA"/>
        </w:rPr>
      </w:pPr>
      <w:bookmarkStart w:id="136" w:name="_Ref448380563"/>
      <w:r w:rsidRPr="0059083D">
        <w:rPr>
          <w:lang w:val="fr-CA"/>
        </w:rPr>
        <w:t>déployer des efforts raisonnables sur le plan commercial</w:t>
      </w:r>
      <w:r w:rsidR="000B08F2" w:rsidRPr="0059083D">
        <w:rPr>
          <w:lang w:val="fr-CA"/>
        </w:rPr>
        <w:t xml:space="preserve"> </w:t>
      </w:r>
      <w:r w:rsidR="007C4E71" w:rsidRPr="0059083D">
        <w:rPr>
          <w:lang w:val="fr-CA"/>
        </w:rPr>
        <w:t>pour inscrire et rendre admissibles les titres</w:t>
      </w:r>
      <w:r w:rsidR="000B08F2" w:rsidRPr="0059083D">
        <w:rPr>
          <w:lang w:val="fr-CA"/>
        </w:rPr>
        <w:t xml:space="preserve"> </w:t>
      </w:r>
      <w:r w:rsidR="0060636C" w:rsidRPr="0059083D">
        <w:rPr>
          <w:lang w:val="fr-CA"/>
        </w:rPr>
        <w:t xml:space="preserve">visés par cette </w:t>
      </w:r>
      <w:r w:rsidR="002A0F83" w:rsidRPr="0059083D">
        <w:rPr>
          <w:lang w:val="fr-CA"/>
        </w:rPr>
        <w:t>déclaration d’inscription</w:t>
      </w:r>
      <w:r w:rsidR="000B08F2" w:rsidRPr="0059083D">
        <w:rPr>
          <w:lang w:val="fr-CA"/>
        </w:rPr>
        <w:t xml:space="preserve"> </w:t>
      </w:r>
      <w:r w:rsidR="0060636C" w:rsidRPr="0059083D">
        <w:rPr>
          <w:lang w:val="fr-CA"/>
        </w:rPr>
        <w:t xml:space="preserve">aux termes des autres lois sur les valeurs mobilières ou sur la protection de l’épargne des territoires </w:t>
      </w:r>
      <w:r w:rsidR="00BA29B8">
        <w:rPr>
          <w:lang w:val="fr-CA"/>
        </w:rPr>
        <w:t xml:space="preserve">dans lesquels </w:t>
      </w:r>
      <w:r w:rsidR="0060636C" w:rsidRPr="0059083D">
        <w:rPr>
          <w:lang w:val="fr-CA"/>
        </w:rPr>
        <w:t xml:space="preserve">les </w:t>
      </w:r>
      <w:r w:rsidR="0006561D" w:rsidRPr="0059083D">
        <w:rPr>
          <w:lang w:val="fr-CA"/>
        </w:rPr>
        <w:t>Porteurs vendeurs</w:t>
      </w:r>
      <w:r w:rsidR="00BA29B8">
        <w:rPr>
          <w:lang w:val="fr-CA"/>
        </w:rPr>
        <w:t xml:space="preserve"> lui</w:t>
      </w:r>
      <w:r w:rsidR="00BA29B8" w:rsidRPr="0059083D">
        <w:rPr>
          <w:lang w:val="fr-CA"/>
        </w:rPr>
        <w:t xml:space="preserve"> demandent raisonnablement</w:t>
      </w:r>
      <w:r w:rsidR="00BA29B8">
        <w:rPr>
          <w:lang w:val="fr-CA"/>
        </w:rPr>
        <w:t xml:space="preserve"> de le faire</w:t>
      </w:r>
      <w:r w:rsidR="000B08F2" w:rsidRPr="0059083D">
        <w:rPr>
          <w:lang w:val="fr-CA"/>
        </w:rPr>
        <w:t xml:space="preserve">; </w:t>
      </w:r>
      <w:r w:rsidR="0060636C" w:rsidRPr="0059083D">
        <w:rPr>
          <w:u w:val="single"/>
          <w:lang w:val="fr-CA"/>
        </w:rPr>
        <w:t>toutefois</w:t>
      </w:r>
      <w:r w:rsidR="0060636C" w:rsidRPr="0059083D">
        <w:rPr>
          <w:lang w:val="fr-CA"/>
        </w:rPr>
        <w:t xml:space="preserve">, </w:t>
      </w:r>
      <w:r w:rsidR="000B08F2" w:rsidRPr="0059083D">
        <w:rPr>
          <w:lang w:val="fr-CA"/>
        </w:rPr>
        <w:t xml:space="preserve">la Société </w:t>
      </w:r>
      <w:r w:rsidR="0060636C" w:rsidRPr="0059083D">
        <w:rPr>
          <w:lang w:val="fr-CA"/>
        </w:rPr>
        <w:t xml:space="preserve">n’est pas tenue de remplir les conditions requises pour exercer des activités </w:t>
      </w:r>
      <w:r w:rsidR="00BA29B8">
        <w:rPr>
          <w:lang w:val="fr-CA"/>
        </w:rPr>
        <w:t>ni</w:t>
      </w:r>
      <w:r w:rsidR="0060636C" w:rsidRPr="0059083D">
        <w:rPr>
          <w:lang w:val="fr-CA"/>
        </w:rPr>
        <w:t xml:space="preserve"> de déposer un consentement général à la signification d</w:t>
      </w:r>
      <w:r w:rsidR="006B449C">
        <w:rPr>
          <w:lang w:val="fr-CA"/>
        </w:rPr>
        <w:t xml:space="preserve">es </w:t>
      </w:r>
      <w:r w:rsidR="0060636C" w:rsidRPr="0059083D">
        <w:rPr>
          <w:lang w:val="fr-CA"/>
        </w:rPr>
        <w:t>actes de procédure dans ces territoires</w:t>
      </w:r>
      <w:bookmarkStart w:id="137" w:name="_Ref448380693"/>
      <w:r w:rsidR="000B08F2" w:rsidRPr="00986BEB">
        <w:rPr>
          <w:rStyle w:val="FootnoteReference"/>
          <w:lang w:val="fr-CA"/>
        </w:rPr>
        <w:footnoteReference w:id="24"/>
      </w:r>
      <w:bookmarkEnd w:id="137"/>
      <w:r w:rsidR="0060636C" w:rsidRPr="0059083D">
        <w:rPr>
          <w:lang w:val="fr-CA"/>
        </w:rPr>
        <w:t>,</w:t>
      </w:r>
      <w:r w:rsidR="000B08F2" w:rsidRPr="0059083D">
        <w:rPr>
          <w:lang w:val="fr-CA"/>
        </w:rPr>
        <w:t xml:space="preserve"> </w:t>
      </w:r>
      <w:r w:rsidR="0060636C" w:rsidRPr="0059083D">
        <w:rPr>
          <w:lang w:val="fr-CA"/>
        </w:rPr>
        <w:t xml:space="preserve">à moins qu’elle </w:t>
      </w:r>
      <w:r w:rsidR="006B449C">
        <w:rPr>
          <w:lang w:val="fr-CA"/>
        </w:rPr>
        <w:t xml:space="preserve">ne reçoive </w:t>
      </w:r>
      <w:r w:rsidR="00E62942" w:rsidRPr="0059083D">
        <w:rPr>
          <w:lang w:val="fr-CA"/>
        </w:rPr>
        <w:t xml:space="preserve">déjà </w:t>
      </w:r>
      <w:r w:rsidR="006B449C">
        <w:rPr>
          <w:lang w:val="fr-CA"/>
        </w:rPr>
        <w:t>la</w:t>
      </w:r>
      <w:r w:rsidR="00E62942" w:rsidRPr="0059083D">
        <w:rPr>
          <w:lang w:val="fr-CA"/>
        </w:rPr>
        <w:t xml:space="preserve"> signification </w:t>
      </w:r>
      <w:r w:rsidR="006B449C">
        <w:rPr>
          <w:lang w:val="fr-CA"/>
        </w:rPr>
        <w:t xml:space="preserve">des actes de procédure </w:t>
      </w:r>
      <w:r w:rsidR="00E62942" w:rsidRPr="0059083D">
        <w:rPr>
          <w:lang w:val="fr-CA"/>
        </w:rPr>
        <w:t>dans ce</w:t>
      </w:r>
      <w:r w:rsidR="0029722B">
        <w:rPr>
          <w:lang w:val="fr-CA"/>
        </w:rPr>
        <w:t>s</w:t>
      </w:r>
      <w:r w:rsidR="00E62942" w:rsidRPr="0059083D">
        <w:rPr>
          <w:lang w:val="fr-CA"/>
        </w:rPr>
        <w:t xml:space="preserve"> territoire</w:t>
      </w:r>
      <w:r w:rsidR="0029722B">
        <w:rPr>
          <w:lang w:val="fr-CA"/>
        </w:rPr>
        <w:t>s</w:t>
      </w:r>
      <w:r w:rsidR="00E62942" w:rsidRPr="0059083D">
        <w:rPr>
          <w:lang w:val="fr-CA"/>
        </w:rPr>
        <w:t xml:space="preserve"> et sauf exigence contraire de la </w:t>
      </w:r>
      <w:r w:rsidR="00F52467" w:rsidRPr="0059083D">
        <w:rPr>
          <w:lang w:val="fr-CA"/>
        </w:rPr>
        <w:t xml:space="preserve">Loi de </w:t>
      </w:r>
      <w:r w:rsidR="00F52467" w:rsidRPr="00986BEB">
        <w:rPr>
          <w:lang w:val="fr-CA"/>
        </w:rPr>
        <w:t>1933</w:t>
      </w:r>
      <w:r w:rsidR="000B08F2" w:rsidRPr="0059083D">
        <w:rPr>
          <w:lang w:val="fr-CA"/>
        </w:rPr>
        <w:t xml:space="preserve"> </w:t>
      </w:r>
      <w:r w:rsidR="00E62942" w:rsidRPr="0059083D">
        <w:rPr>
          <w:lang w:val="fr-CA"/>
        </w:rPr>
        <w:t xml:space="preserve">ou des </w:t>
      </w:r>
      <w:r w:rsidR="0006561D" w:rsidRPr="0059083D">
        <w:rPr>
          <w:lang w:val="fr-CA"/>
        </w:rPr>
        <w:t>Lois sur les valeurs mobilières canadiennes</w:t>
      </w:r>
      <w:r w:rsidR="000B08F2" w:rsidRPr="0059083D">
        <w:rPr>
          <w:lang w:val="fr-CA"/>
        </w:rPr>
        <w:t>;</w:t>
      </w:r>
      <w:bookmarkEnd w:id="136"/>
    </w:p>
    <w:p w14:paraId="679C204F" w14:textId="7DC5B2B9" w:rsidR="00037C7E" w:rsidRPr="00986BEB" w:rsidRDefault="0006140E">
      <w:pPr>
        <w:pStyle w:val="StandardL3"/>
        <w:rPr>
          <w:lang w:val="fr-CA"/>
        </w:rPr>
      </w:pPr>
      <w:bookmarkStart w:id="138" w:name="_Ref448380564"/>
      <w:r w:rsidRPr="0059083D">
        <w:rPr>
          <w:lang w:val="fr-CA"/>
        </w:rPr>
        <w:t xml:space="preserve">dans le cas d’un appel public à l’épargne par voie de prise ferme, conclure </w:t>
      </w:r>
      <w:r w:rsidR="009C48C4" w:rsidRPr="0059083D">
        <w:rPr>
          <w:lang w:val="fr-CA"/>
        </w:rPr>
        <w:t xml:space="preserve">une convention </w:t>
      </w:r>
      <w:r w:rsidR="00A633FF" w:rsidRPr="0059083D">
        <w:rPr>
          <w:lang w:val="fr-CA"/>
        </w:rPr>
        <w:t xml:space="preserve">de prise ferme dans la forme habituelle avec le ou les preneurs fermes </w:t>
      </w:r>
      <w:r w:rsidR="00FA5025" w:rsidRPr="0059083D">
        <w:rPr>
          <w:lang w:val="fr-CA"/>
        </w:rPr>
        <w:t>participant au</w:t>
      </w:r>
      <w:r w:rsidR="00A633FF" w:rsidRPr="0059083D">
        <w:rPr>
          <w:lang w:val="fr-CA"/>
        </w:rPr>
        <w:t xml:space="preserve"> placement, et s’acquitter de ses obligations aux termes de cette convention</w:t>
      </w:r>
      <w:r w:rsidR="000B08F2" w:rsidRPr="0059083D">
        <w:rPr>
          <w:lang w:val="fr-CA"/>
        </w:rPr>
        <w:t>;</w:t>
      </w:r>
      <w:bookmarkEnd w:id="138"/>
    </w:p>
    <w:p w14:paraId="6B9076F9" w14:textId="3104DD68" w:rsidR="00037C7E" w:rsidRPr="00986BEB" w:rsidRDefault="00A4142A">
      <w:pPr>
        <w:pStyle w:val="StandardL3"/>
        <w:rPr>
          <w:lang w:val="fr-CA"/>
        </w:rPr>
      </w:pPr>
      <w:bookmarkStart w:id="139" w:name="_Ref448380565"/>
      <w:r w:rsidRPr="0059083D">
        <w:rPr>
          <w:lang w:val="fr-CA"/>
        </w:rPr>
        <w:t>déployer des efforts raisonnables sur le plan commercial</w:t>
      </w:r>
      <w:r w:rsidR="000B08F2" w:rsidRPr="0059083D">
        <w:rPr>
          <w:lang w:val="fr-CA"/>
        </w:rPr>
        <w:t xml:space="preserve"> </w:t>
      </w:r>
      <w:r w:rsidR="00A633FF" w:rsidRPr="0059083D">
        <w:rPr>
          <w:lang w:val="fr-CA"/>
        </w:rPr>
        <w:t xml:space="preserve">pour que tous les </w:t>
      </w:r>
      <w:r w:rsidR="0006561D" w:rsidRPr="0059083D">
        <w:rPr>
          <w:lang w:val="fr-CA"/>
        </w:rPr>
        <w:t>Titres à inscrire</w:t>
      </w:r>
      <w:r w:rsidR="000B08F2" w:rsidRPr="0059083D">
        <w:rPr>
          <w:lang w:val="fr-CA"/>
        </w:rPr>
        <w:t xml:space="preserve"> </w:t>
      </w:r>
      <w:r w:rsidR="00A633FF" w:rsidRPr="0059083D">
        <w:rPr>
          <w:lang w:val="fr-CA"/>
        </w:rPr>
        <w:t xml:space="preserve">visés par </w:t>
      </w:r>
      <w:r w:rsidR="0029722B">
        <w:rPr>
          <w:lang w:val="fr-CA"/>
        </w:rPr>
        <w:t>la</w:t>
      </w:r>
      <w:r w:rsidR="00A633FF" w:rsidRPr="0059083D">
        <w:rPr>
          <w:lang w:val="fr-CA"/>
        </w:rPr>
        <w:t xml:space="preserve"> </w:t>
      </w:r>
      <w:r w:rsidR="002A0F83" w:rsidRPr="0059083D">
        <w:rPr>
          <w:lang w:val="fr-CA"/>
        </w:rPr>
        <w:t>déclaration d’inscription</w:t>
      </w:r>
      <w:r w:rsidR="000B08F2" w:rsidRPr="0059083D">
        <w:rPr>
          <w:lang w:val="fr-CA"/>
        </w:rPr>
        <w:t xml:space="preserve"> </w:t>
      </w:r>
      <w:r w:rsidR="00A633FF" w:rsidRPr="0059083D">
        <w:rPr>
          <w:lang w:val="fr-CA"/>
        </w:rPr>
        <w:t xml:space="preserve">soient inscrits à la cote d’une bourse ou </w:t>
      </w:r>
      <w:r w:rsidR="00C55AA5" w:rsidRPr="0059083D">
        <w:rPr>
          <w:lang w:val="fr-CA"/>
        </w:rPr>
        <w:t>d’</w:t>
      </w:r>
      <w:r w:rsidR="00A633FF" w:rsidRPr="0059083D">
        <w:rPr>
          <w:lang w:val="fr-CA"/>
        </w:rPr>
        <w:t xml:space="preserve">un système de négociation national </w:t>
      </w:r>
      <w:r w:rsidR="00C55AA5" w:rsidRPr="0059083D">
        <w:rPr>
          <w:lang w:val="fr-CA"/>
        </w:rPr>
        <w:t>d</w:t>
      </w:r>
      <w:r w:rsidR="00A633FF" w:rsidRPr="0059083D">
        <w:rPr>
          <w:lang w:val="fr-CA"/>
        </w:rPr>
        <w:t xml:space="preserve">u Canada ou </w:t>
      </w:r>
      <w:r w:rsidR="00C55AA5" w:rsidRPr="0059083D">
        <w:rPr>
          <w:lang w:val="fr-CA"/>
        </w:rPr>
        <w:t>des</w:t>
      </w:r>
      <w:r w:rsidR="00A633FF" w:rsidRPr="0059083D">
        <w:rPr>
          <w:lang w:val="fr-CA"/>
        </w:rPr>
        <w:t xml:space="preserve"> États-Unis </w:t>
      </w:r>
      <w:r w:rsidR="000B08F2" w:rsidRPr="0059083D">
        <w:rPr>
          <w:lang w:val="fr-CA"/>
        </w:rPr>
        <w:t>(</w:t>
      </w:r>
      <w:r w:rsidR="00A633FF" w:rsidRPr="0059083D">
        <w:rPr>
          <w:lang w:val="fr-CA"/>
        </w:rPr>
        <w:t xml:space="preserve">au gré de </w:t>
      </w:r>
      <w:r w:rsidR="000B08F2" w:rsidRPr="0059083D">
        <w:rPr>
          <w:lang w:val="fr-CA"/>
        </w:rPr>
        <w:t xml:space="preserve">la Société) </w:t>
      </w:r>
      <w:r w:rsidR="00C55AA5" w:rsidRPr="0059083D">
        <w:rPr>
          <w:lang w:val="fr-CA"/>
        </w:rPr>
        <w:t xml:space="preserve">et de chaque bourse et système de négociation </w:t>
      </w:r>
      <w:r w:rsidR="000B08F2" w:rsidRPr="0059083D">
        <w:rPr>
          <w:lang w:val="fr-CA"/>
        </w:rPr>
        <w:t>(</w:t>
      </w:r>
      <w:r w:rsidR="00C55AA5" w:rsidRPr="0059083D">
        <w:rPr>
          <w:lang w:val="fr-CA"/>
        </w:rPr>
        <w:t>le cas échéant</w:t>
      </w:r>
      <w:r w:rsidR="000B08F2" w:rsidRPr="0059083D">
        <w:rPr>
          <w:lang w:val="fr-CA"/>
        </w:rPr>
        <w:t xml:space="preserve">) </w:t>
      </w:r>
      <w:r w:rsidR="00C55AA5" w:rsidRPr="0059083D">
        <w:rPr>
          <w:lang w:val="fr-CA"/>
        </w:rPr>
        <w:t xml:space="preserve">à la cote desquels des titres semblables émis par la </w:t>
      </w:r>
      <w:r w:rsidR="000B08F2" w:rsidRPr="0059083D">
        <w:rPr>
          <w:lang w:val="fr-CA"/>
        </w:rPr>
        <w:t xml:space="preserve">Société </w:t>
      </w:r>
      <w:r w:rsidR="00C55AA5" w:rsidRPr="0059083D">
        <w:rPr>
          <w:lang w:val="fr-CA"/>
        </w:rPr>
        <w:t>sont alors inscrits</w:t>
      </w:r>
      <w:r w:rsidR="000B08F2" w:rsidRPr="0059083D">
        <w:rPr>
          <w:lang w:val="fr-CA"/>
        </w:rPr>
        <w:t>;</w:t>
      </w:r>
      <w:bookmarkEnd w:id="139"/>
    </w:p>
    <w:p w14:paraId="20312D76" w14:textId="4955F9D8" w:rsidR="00037C7E" w:rsidRPr="00986BEB" w:rsidRDefault="00C55AA5">
      <w:pPr>
        <w:pStyle w:val="StandardL3"/>
        <w:rPr>
          <w:lang w:val="fr-CA"/>
        </w:rPr>
      </w:pPr>
      <w:bookmarkStart w:id="140" w:name="_Ref448380566"/>
      <w:r w:rsidRPr="0059083D">
        <w:rPr>
          <w:lang w:val="fr-CA"/>
        </w:rPr>
        <w:t xml:space="preserve">désigner un agent des transferts et agent chargé de la tenue des registres pour tous les </w:t>
      </w:r>
      <w:r w:rsidR="0006561D" w:rsidRPr="0059083D">
        <w:rPr>
          <w:lang w:val="fr-CA"/>
        </w:rPr>
        <w:t>Titres à inscrire</w:t>
      </w:r>
      <w:r w:rsidR="000B08F2" w:rsidRPr="0059083D">
        <w:rPr>
          <w:lang w:val="fr-CA"/>
        </w:rPr>
        <w:t xml:space="preserve"> </w:t>
      </w:r>
      <w:r w:rsidRPr="0059083D">
        <w:rPr>
          <w:lang w:val="fr-CA"/>
        </w:rPr>
        <w:t xml:space="preserve">qui font l’objet d’une inscription conformément à </w:t>
      </w:r>
      <w:r w:rsidR="000B08F2" w:rsidRPr="0059083D">
        <w:rPr>
          <w:lang w:val="fr-CA"/>
        </w:rPr>
        <w:t xml:space="preserve">la présente Convention </w:t>
      </w:r>
      <w:r w:rsidRPr="0059083D">
        <w:rPr>
          <w:lang w:val="fr-CA"/>
        </w:rPr>
        <w:t xml:space="preserve">et fournir un numéro </w:t>
      </w:r>
      <w:r w:rsidR="000B08F2" w:rsidRPr="0059083D">
        <w:rPr>
          <w:lang w:val="fr-CA"/>
        </w:rPr>
        <w:t xml:space="preserve">CUSIP </w:t>
      </w:r>
      <w:r w:rsidRPr="0059083D">
        <w:rPr>
          <w:lang w:val="fr-CA"/>
        </w:rPr>
        <w:t>p</w:t>
      </w:r>
      <w:r w:rsidR="006B449C">
        <w:rPr>
          <w:lang w:val="fr-CA"/>
        </w:rPr>
        <w:t>o</w:t>
      </w:r>
      <w:r w:rsidRPr="0059083D">
        <w:rPr>
          <w:lang w:val="fr-CA"/>
        </w:rPr>
        <w:t xml:space="preserve">ur tous ces </w:t>
      </w:r>
      <w:r w:rsidR="0006561D" w:rsidRPr="0059083D">
        <w:rPr>
          <w:lang w:val="fr-CA"/>
        </w:rPr>
        <w:t>Titres à inscrire</w:t>
      </w:r>
      <w:r w:rsidR="000B08F2" w:rsidRPr="0059083D">
        <w:rPr>
          <w:lang w:val="fr-CA"/>
        </w:rPr>
        <w:t xml:space="preserve">, </w:t>
      </w:r>
      <w:r w:rsidRPr="0059083D">
        <w:rPr>
          <w:lang w:val="fr-CA"/>
        </w:rPr>
        <w:t>dans chaque cas au plus tard à la date d’entrée en vigueur</w:t>
      </w:r>
      <w:r w:rsidR="000B08F2" w:rsidRPr="0059083D">
        <w:rPr>
          <w:lang w:val="fr-CA"/>
        </w:rPr>
        <w:t xml:space="preserve"> </w:t>
      </w:r>
      <w:r w:rsidRPr="0059083D">
        <w:rPr>
          <w:lang w:val="fr-CA"/>
        </w:rPr>
        <w:t>de cette inscription</w:t>
      </w:r>
      <w:r w:rsidR="000B08F2" w:rsidRPr="0059083D">
        <w:rPr>
          <w:lang w:val="fr-CA"/>
        </w:rPr>
        <w:t>;</w:t>
      </w:r>
      <w:bookmarkEnd w:id="140"/>
    </w:p>
    <w:p w14:paraId="19A9DD37" w14:textId="03FB1DDC" w:rsidR="00037C7E" w:rsidRPr="00986BEB" w:rsidRDefault="00FA5025">
      <w:pPr>
        <w:pStyle w:val="StandardL3"/>
        <w:rPr>
          <w:lang w:val="fr-CA"/>
        </w:rPr>
      </w:pPr>
      <w:bookmarkStart w:id="141" w:name="_Ref448380567"/>
      <w:r w:rsidRPr="0059083D">
        <w:rPr>
          <w:lang w:val="fr-CA"/>
        </w:rPr>
        <w:t xml:space="preserve">mettre </w:t>
      </w:r>
      <w:r w:rsidR="006B449C">
        <w:rPr>
          <w:lang w:val="fr-CA"/>
        </w:rPr>
        <w:t xml:space="preserve">sans délai </w:t>
      </w:r>
      <w:r w:rsidRPr="0059083D">
        <w:rPr>
          <w:lang w:val="fr-CA"/>
        </w:rPr>
        <w:t xml:space="preserve">à la disposition des </w:t>
      </w:r>
      <w:r w:rsidR="0006561D" w:rsidRPr="0059083D">
        <w:rPr>
          <w:lang w:val="fr-CA"/>
        </w:rPr>
        <w:t>Porteurs vendeurs</w:t>
      </w:r>
      <w:r w:rsidRPr="0059083D">
        <w:rPr>
          <w:lang w:val="fr-CA"/>
        </w:rPr>
        <w:t xml:space="preserve">, du ou des preneurs fermes [chefs de file] participant à toute aliénation conformément à cette </w:t>
      </w:r>
      <w:r w:rsidR="002A0F83" w:rsidRPr="0059083D">
        <w:rPr>
          <w:lang w:val="fr-CA"/>
        </w:rPr>
        <w:t>déclaration d’inscription</w:t>
      </w:r>
      <w:r w:rsidRPr="0059083D">
        <w:rPr>
          <w:lang w:val="fr-CA"/>
        </w:rPr>
        <w:t xml:space="preserve"> et de tout avocat, comptable ou autre mandataire dont les services sont retenus par un tel preneur ferme ou qui est choisi par les </w:t>
      </w:r>
      <w:r w:rsidR="0006561D" w:rsidRPr="0059083D">
        <w:rPr>
          <w:lang w:val="fr-CA"/>
        </w:rPr>
        <w:t>Porteurs vendeurs</w:t>
      </w:r>
      <w:r w:rsidR="000B08F2" w:rsidRPr="0059083D">
        <w:rPr>
          <w:lang w:val="fr-CA"/>
        </w:rPr>
        <w:t xml:space="preserve">, </w:t>
      </w:r>
      <w:r w:rsidRPr="0059083D">
        <w:rPr>
          <w:lang w:val="fr-CA"/>
        </w:rPr>
        <w:t xml:space="preserve">aux fins d’inspection, tous les dossiers financiers et autres dossiers, les documents  pertinents et les biens de la Société, et veiller à ce que les dirigeants, administrateurs, employés et comptables indépendants de </w:t>
      </w:r>
      <w:r w:rsidR="000B08F2" w:rsidRPr="0059083D">
        <w:rPr>
          <w:lang w:val="fr-CA"/>
        </w:rPr>
        <w:t>la Société</w:t>
      </w:r>
      <w:r w:rsidRPr="0059083D">
        <w:rPr>
          <w:lang w:val="fr-CA"/>
        </w:rPr>
        <w:t xml:space="preserve"> </w:t>
      </w:r>
      <w:r w:rsidR="00095AD5" w:rsidRPr="0059083D">
        <w:rPr>
          <w:lang w:val="fr-CA"/>
        </w:rPr>
        <w:t xml:space="preserve">fournissent tous les renseignements </w:t>
      </w:r>
      <w:r w:rsidR="007C4E71" w:rsidRPr="0059083D">
        <w:rPr>
          <w:lang w:val="fr-CA"/>
        </w:rPr>
        <w:t>raisonnablement</w:t>
      </w:r>
      <w:r w:rsidR="000B08F2" w:rsidRPr="0059083D">
        <w:rPr>
          <w:lang w:val="fr-CA"/>
        </w:rPr>
        <w:t xml:space="preserve"> </w:t>
      </w:r>
      <w:r w:rsidR="00095AD5" w:rsidRPr="0059083D">
        <w:rPr>
          <w:lang w:val="fr-CA"/>
        </w:rPr>
        <w:t xml:space="preserve">demandés par ces personnes, dans chaque cas, dans la mesure nécessaire ou souhaitable pour leur permettre de vérifier l’exactitude des renseignements figurant dans </w:t>
      </w:r>
      <w:r w:rsidR="0029722B">
        <w:rPr>
          <w:lang w:val="fr-CA"/>
        </w:rPr>
        <w:t>la</w:t>
      </w:r>
      <w:r w:rsidR="00095AD5" w:rsidRPr="0059083D">
        <w:rPr>
          <w:lang w:val="fr-CA"/>
        </w:rPr>
        <w:t xml:space="preserve"> </w:t>
      </w:r>
      <w:r w:rsidR="002A0F83" w:rsidRPr="0059083D">
        <w:rPr>
          <w:lang w:val="fr-CA"/>
        </w:rPr>
        <w:t>déclaration d’inscription</w:t>
      </w:r>
      <w:r w:rsidR="000B08F2" w:rsidRPr="0059083D">
        <w:rPr>
          <w:lang w:val="fr-CA"/>
        </w:rPr>
        <w:t xml:space="preserve"> </w:t>
      </w:r>
      <w:r w:rsidR="00095AD5" w:rsidRPr="0059083D">
        <w:rPr>
          <w:lang w:val="fr-CA"/>
        </w:rPr>
        <w:t xml:space="preserve">et </w:t>
      </w:r>
      <w:r w:rsidR="00D923EE">
        <w:rPr>
          <w:lang w:val="fr-CA"/>
        </w:rPr>
        <w:t>d’</w:t>
      </w:r>
      <w:r w:rsidR="00095AD5" w:rsidRPr="0059083D">
        <w:rPr>
          <w:lang w:val="fr-CA"/>
        </w:rPr>
        <w:t>effectuer un</w:t>
      </w:r>
      <w:r w:rsidR="001A74F7">
        <w:rPr>
          <w:lang w:val="fr-CA"/>
        </w:rPr>
        <w:t xml:space="preserve">e vérification </w:t>
      </w:r>
      <w:r w:rsidR="00095AD5" w:rsidRPr="0059083D">
        <w:rPr>
          <w:lang w:val="fr-CA"/>
        </w:rPr>
        <w:t>diligent</w:t>
      </w:r>
      <w:r w:rsidR="001A74F7">
        <w:rPr>
          <w:lang w:val="fr-CA"/>
        </w:rPr>
        <w:t>e</w:t>
      </w:r>
      <w:r w:rsidR="00095AD5" w:rsidRPr="0059083D">
        <w:rPr>
          <w:lang w:val="fr-CA"/>
        </w:rPr>
        <w:t xml:space="preserve"> approprié</w:t>
      </w:r>
      <w:r w:rsidR="001A74F7">
        <w:rPr>
          <w:lang w:val="fr-CA"/>
        </w:rPr>
        <w:t>e</w:t>
      </w:r>
      <w:r w:rsidR="00095AD5" w:rsidRPr="0059083D">
        <w:rPr>
          <w:lang w:val="fr-CA"/>
        </w:rPr>
        <w:t xml:space="preserve"> à leur égard</w:t>
      </w:r>
      <w:bookmarkStart w:id="142" w:name="_Ref448380694"/>
      <w:r w:rsidR="000B08F2" w:rsidRPr="00986BEB">
        <w:rPr>
          <w:rStyle w:val="FootnoteReference"/>
          <w:lang w:val="fr-CA"/>
        </w:rPr>
        <w:footnoteReference w:id="25"/>
      </w:r>
      <w:bookmarkEnd w:id="141"/>
      <w:bookmarkEnd w:id="142"/>
      <w:r w:rsidR="00095AD5" w:rsidRPr="0059083D">
        <w:rPr>
          <w:lang w:val="fr-CA"/>
        </w:rPr>
        <w:t>;</w:t>
      </w:r>
    </w:p>
    <w:p w14:paraId="24983630" w14:textId="05B77832" w:rsidR="00037C7E" w:rsidRPr="00986BEB" w:rsidRDefault="00095AD5">
      <w:pPr>
        <w:pStyle w:val="StandardL3"/>
        <w:rPr>
          <w:lang w:val="fr-CA"/>
        </w:rPr>
      </w:pPr>
      <w:bookmarkStart w:id="143" w:name="_Ref448380568"/>
      <w:r w:rsidRPr="0059083D">
        <w:rPr>
          <w:lang w:val="fr-CA"/>
        </w:rPr>
        <w:t xml:space="preserve">aviser chaque </w:t>
      </w:r>
      <w:r w:rsidR="0006561D" w:rsidRPr="0059083D">
        <w:rPr>
          <w:lang w:val="fr-CA"/>
        </w:rPr>
        <w:t>Porteur vendeur</w:t>
      </w:r>
      <w:r w:rsidR="000B08F2" w:rsidRPr="0059083D">
        <w:rPr>
          <w:lang w:val="fr-CA"/>
        </w:rPr>
        <w:t xml:space="preserve">, </w:t>
      </w:r>
      <w:r w:rsidRPr="0059083D">
        <w:rPr>
          <w:lang w:val="fr-CA"/>
        </w:rPr>
        <w:t>dans les meilleurs délais après</w:t>
      </w:r>
      <w:r w:rsidR="007F20AD">
        <w:rPr>
          <w:lang w:val="fr-CA"/>
        </w:rPr>
        <w:t xml:space="preserve"> avoir reçu </w:t>
      </w:r>
      <w:r w:rsidR="00BA685B" w:rsidRPr="0059083D">
        <w:rPr>
          <w:lang w:val="fr-CA"/>
        </w:rPr>
        <w:t xml:space="preserve">un avis à cet égard, du moment où </w:t>
      </w:r>
      <w:r w:rsidR="00EB3BEA" w:rsidRPr="0059083D">
        <w:rPr>
          <w:lang w:val="fr-CA"/>
        </w:rPr>
        <w:t xml:space="preserve">la </w:t>
      </w:r>
      <w:r w:rsidR="002A0F83" w:rsidRPr="0059083D">
        <w:rPr>
          <w:lang w:val="fr-CA"/>
        </w:rPr>
        <w:t>déclaration d’inscription</w:t>
      </w:r>
      <w:r w:rsidR="000B08F2" w:rsidRPr="0059083D">
        <w:rPr>
          <w:lang w:val="fr-CA"/>
        </w:rPr>
        <w:t xml:space="preserve"> </w:t>
      </w:r>
      <w:r w:rsidR="00BA685B" w:rsidRPr="0059083D">
        <w:rPr>
          <w:lang w:val="fr-CA"/>
        </w:rPr>
        <w:t>a été déclaré</w:t>
      </w:r>
      <w:r w:rsidR="007F20AD">
        <w:rPr>
          <w:lang w:val="fr-CA"/>
        </w:rPr>
        <w:t>e</w:t>
      </w:r>
      <w:r w:rsidR="00BA685B" w:rsidRPr="0059083D">
        <w:rPr>
          <w:lang w:val="fr-CA"/>
        </w:rPr>
        <w:t xml:space="preserve"> en vigueur ou </w:t>
      </w:r>
      <w:r w:rsidR="007F20AD">
        <w:rPr>
          <w:lang w:val="fr-CA"/>
        </w:rPr>
        <w:t xml:space="preserve">du moment où </w:t>
      </w:r>
      <w:r w:rsidR="00BA685B" w:rsidRPr="0059083D">
        <w:rPr>
          <w:lang w:val="fr-CA"/>
        </w:rPr>
        <w:t xml:space="preserve">un supplément </w:t>
      </w:r>
      <w:r w:rsidR="00E73401" w:rsidRPr="0059083D">
        <w:rPr>
          <w:lang w:val="fr-CA"/>
        </w:rPr>
        <w:t xml:space="preserve">relatif à tout </w:t>
      </w:r>
      <w:r w:rsidR="000B08F2" w:rsidRPr="0059083D">
        <w:rPr>
          <w:lang w:val="fr-CA"/>
        </w:rPr>
        <w:t xml:space="preserve">prospectus </w:t>
      </w:r>
      <w:r w:rsidR="00E73401" w:rsidRPr="0059083D">
        <w:rPr>
          <w:lang w:val="fr-CA"/>
        </w:rPr>
        <w:t xml:space="preserve">faisant partie de </w:t>
      </w:r>
      <w:r w:rsidR="00D923EE">
        <w:rPr>
          <w:lang w:val="fr-CA"/>
        </w:rPr>
        <w:t>la</w:t>
      </w:r>
      <w:r w:rsidR="00E73401" w:rsidRPr="0059083D">
        <w:rPr>
          <w:lang w:val="fr-CA"/>
        </w:rPr>
        <w:t xml:space="preserve"> </w:t>
      </w:r>
      <w:r w:rsidR="002A0F83" w:rsidRPr="0059083D">
        <w:rPr>
          <w:lang w:val="fr-CA"/>
        </w:rPr>
        <w:t>déclaration d’inscription</w:t>
      </w:r>
      <w:r w:rsidR="000B08F2" w:rsidRPr="0059083D">
        <w:rPr>
          <w:lang w:val="fr-CA"/>
        </w:rPr>
        <w:t xml:space="preserve"> </w:t>
      </w:r>
      <w:r w:rsidR="00E73401" w:rsidRPr="0059083D">
        <w:rPr>
          <w:lang w:val="fr-CA"/>
        </w:rPr>
        <w:t>a été déposé</w:t>
      </w:r>
      <w:r w:rsidR="000B08F2" w:rsidRPr="0059083D">
        <w:rPr>
          <w:lang w:val="fr-CA"/>
        </w:rPr>
        <w:t xml:space="preserve">; </w:t>
      </w:r>
      <w:bookmarkEnd w:id="143"/>
    </w:p>
    <w:p w14:paraId="7E63938B" w14:textId="7BB8221B" w:rsidR="00037C7E" w:rsidRPr="00986BEB" w:rsidRDefault="00EB3BEA">
      <w:pPr>
        <w:pStyle w:val="StandardL3"/>
        <w:rPr>
          <w:lang w:val="fr-CA"/>
        </w:rPr>
      </w:pPr>
      <w:bookmarkStart w:id="144" w:name="_Ref448380569"/>
      <w:r w:rsidRPr="0059083D">
        <w:rPr>
          <w:lang w:val="fr-CA"/>
        </w:rPr>
        <w:t xml:space="preserve">après l’entrée en vigueur de la </w:t>
      </w:r>
      <w:r w:rsidR="002A0F83" w:rsidRPr="0059083D">
        <w:rPr>
          <w:lang w:val="fr-CA"/>
        </w:rPr>
        <w:t>déclaration d’inscription</w:t>
      </w:r>
      <w:r w:rsidR="000B08F2" w:rsidRPr="0059083D">
        <w:rPr>
          <w:lang w:val="fr-CA"/>
        </w:rPr>
        <w:t xml:space="preserve">, </w:t>
      </w:r>
      <w:r w:rsidRPr="0059083D">
        <w:rPr>
          <w:lang w:val="fr-CA"/>
        </w:rPr>
        <w:t xml:space="preserve">aviser chaque </w:t>
      </w:r>
      <w:r w:rsidR="0006561D" w:rsidRPr="0059083D">
        <w:rPr>
          <w:lang w:val="fr-CA"/>
        </w:rPr>
        <w:t>Porteur vendeur</w:t>
      </w:r>
      <w:r w:rsidR="000B08F2" w:rsidRPr="0059083D">
        <w:rPr>
          <w:lang w:val="fr-CA"/>
        </w:rPr>
        <w:t xml:space="preserve"> </w:t>
      </w:r>
      <w:r w:rsidRPr="0059083D">
        <w:rPr>
          <w:lang w:val="fr-CA"/>
        </w:rPr>
        <w:t xml:space="preserve">de toute demande </w:t>
      </w:r>
      <w:r w:rsidR="006740E2">
        <w:rPr>
          <w:lang w:val="fr-CA"/>
        </w:rPr>
        <w:t>de</w:t>
      </w:r>
      <w:r w:rsidRPr="0059083D">
        <w:rPr>
          <w:lang w:val="fr-CA"/>
        </w:rPr>
        <w:t xml:space="preserve"> la </w:t>
      </w:r>
      <w:r w:rsidR="000B08F2" w:rsidRPr="0059083D">
        <w:rPr>
          <w:lang w:val="fr-CA"/>
        </w:rPr>
        <w:t xml:space="preserve">SEC </w:t>
      </w:r>
      <w:r w:rsidRPr="0059083D">
        <w:rPr>
          <w:lang w:val="fr-CA"/>
        </w:rPr>
        <w:t xml:space="preserve">ou </w:t>
      </w:r>
      <w:r w:rsidR="006740E2">
        <w:rPr>
          <w:lang w:val="fr-CA"/>
        </w:rPr>
        <w:t>d</w:t>
      </w:r>
      <w:r w:rsidRPr="0059083D">
        <w:rPr>
          <w:lang w:val="fr-CA"/>
        </w:rPr>
        <w:t xml:space="preserve">es </w:t>
      </w:r>
      <w:r w:rsidR="00A04807" w:rsidRPr="0059083D">
        <w:rPr>
          <w:lang w:val="fr-CA"/>
        </w:rPr>
        <w:t>autorités en valeurs mobilières canadiennes</w:t>
      </w:r>
      <w:r w:rsidR="000B08F2" w:rsidRPr="0059083D">
        <w:rPr>
          <w:lang w:val="fr-CA"/>
        </w:rPr>
        <w:t xml:space="preserve"> </w:t>
      </w:r>
      <w:r w:rsidR="006740E2">
        <w:rPr>
          <w:lang w:val="fr-CA"/>
        </w:rPr>
        <w:t xml:space="preserve">voulant que </w:t>
      </w:r>
      <w:r w:rsidR="00F623C6" w:rsidRPr="0059083D">
        <w:rPr>
          <w:lang w:val="fr-CA"/>
        </w:rPr>
        <w:t xml:space="preserve">la Société modifie ou complète </w:t>
      </w:r>
      <w:r w:rsidRPr="0059083D">
        <w:rPr>
          <w:lang w:val="fr-CA"/>
        </w:rPr>
        <w:t xml:space="preserve">cette </w:t>
      </w:r>
      <w:r w:rsidR="002A0F83" w:rsidRPr="0059083D">
        <w:rPr>
          <w:lang w:val="fr-CA"/>
        </w:rPr>
        <w:t>déclaration d’inscription</w:t>
      </w:r>
      <w:r w:rsidR="000B08F2" w:rsidRPr="0059083D">
        <w:rPr>
          <w:lang w:val="fr-CA"/>
        </w:rPr>
        <w:t xml:space="preserve"> </w:t>
      </w:r>
      <w:r w:rsidRPr="0059083D">
        <w:rPr>
          <w:lang w:val="fr-CA"/>
        </w:rPr>
        <w:t xml:space="preserve">ou ce </w:t>
      </w:r>
      <w:r w:rsidR="000B08F2" w:rsidRPr="0059083D">
        <w:rPr>
          <w:lang w:val="fr-CA"/>
        </w:rPr>
        <w:t>prospectus.</w:t>
      </w:r>
      <w:bookmarkEnd w:id="144"/>
    </w:p>
    <w:p w14:paraId="4D203FF8" w14:textId="5D9B3470" w:rsidR="00037C7E" w:rsidRPr="0059083D" w:rsidRDefault="00F623C6">
      <w:pPr>
        <w:pStyle w:val="StandardCont2"/>
        <w:rPr>
          <w:lang w:val="fr-CA"/>
        </w:rPr>
      </w:pPr>
      <w:r w:rsidRPr="0059083D">
        <w:rPr>
          <w:lang w:val="fr-CA"/>
        </w:rPr>
        <w:t xml:space="preserve">En outre, </w:t>
      </w:r>
      <w:r w:rsidR="000B08F2" w:rsidRPr="0059083D">
        <w:rPr>
          <w:lang w:val="fr-CA"/>
        </w:rPr>
        <w:t xml:space="preserve">la Société </w:t>
      </w:r>
      <w:r w:rsidR="00B01EC3" w:rsidRPr="0059083D">
        <w:rPr>
          <w:lang w:val="fr-CA"/>
        </w:rPr>
        <w:t xml:space="preserve">doit </w:t>
      </w:r>
      <w:r w:rsidR="00C1246B" w:rsidRPr="0059083D">
        <w:rPr>
          <w:lang w:val="fr-CA"/>
        </w:rPr>
        <w:t>s’assure</w:t>
      </w:r>
      <w:r w:rsidR="00B01EC3" w:rsidRPr="0059083D">
        <w:rPr>
          <w:lang w:val="fr-CA"/>
        </w:rPr>
        <w:t>r</w:t>
      </w:r>
      <w:r w:rsidR="00C1246B" w:rsidRPr="0059083D">
        <w:rPr>
          <w:lang w:val="fr-CA"/>
        </w:rPr>
        <w:t xml:space="preserve"> que, en tout temps après l’entrée en vigueur d’une </w:t>
      </w:r>
      <w:r w:rsidR="002A0F83" w:rsidRPr="0059083D">
        <w:rPr>
          <w:lang w:val="fr-CA"/>
        </w:rPr>
        <w:t>déclaration d’inscription</w:t>
      </w:r>
      <w:r w:rsidR="000B08F2" w:rsidRPr="0059083D">
        <w:rPr>
          <w:lang w:val="fr-CA"/>
        </w:rPr>
        <w:t xml:space="preserve"> </w:t>
      </w:r>
      <w:r w:rsidR="00C1246B" w:rsidRPr="0059083D">
        <w:rPr>
          <w:lang w:val="fr-CA"/>
        </w:rPr>
        <w:t xml:space="preserve">visant un </w:t>
      </w:r>
      <w:r w:rsidR="00D923EE">
        <w:rPr>
          <w:lang w:val="fr-CA"/>
        </w:rPr>
        <w:t xml:space="preserve">appel public à l’épargne </w:t>
      </w:r>
      <w:r w:rsidR="000B08F2" w:rsidRPr="0059083D">
        <w:rPr>
          <w:lang w:val="fr-CA"/>
        </w:rPr>
        <w:t xml:space="preserve">de la Société </w:t>
      </w:r>
      <w:r w:rsidR="00B01EC3" w:rsidRPr="0059083D">
        <w:rPr>
          <w:lang w:val="fr-CA"/>
        </w:rPr>
        <w:t xml:space="preserve">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00B01EC3" w:rsidRPr="0059083D">
        <w:rPr>
          <w:lang w:val="fr-CA"/>
        </w:rPr>
        <w:t>ou de</w:t>
      </w:r>
      <w:r w:rsidR="006740E2">
        <w:rPr>
          <w:lang w:val="fr-CA"/>
        </w:rPr>
        <w:t>s</w:t>
      </w:r>
      <w:r w:rsidR="000B08F2" w:rsidRPr="0059083D">
        <w:rPr>
          <w:lang w:val="fr-CA"/>
        </w:rPr>
        <w:t xml:space="preserve"> </w:t>
      </w:r>
      <w:r w:rsidR="0006561D" w:rsidRPr="0059083D">
        <w:rPr>
          <w:lang w:val="fr-CA"/>
        </w:rPr>
        <w:t>Lois sur les valeurs mobilières canadiennes</w:t>
      </w:r>
      <w:r w:rsidR="000B08F2" w:rsidRPr="0059083D">
        <w:rPr>
          <w:lang w:val="fr-CA"/>
        </w:rPr>
        <w:t xml:space="preserve">, </w:t>
      </w:r>
      <w:r w:rsidR="00B01EC3" w:rsidRPr="0059083D">
        <w:rPr>
          <w:lang w:val="fr-CA"/>
        </w:rPr>
        <w:t xml:space="preserve">sa politique sur les opérations d’initiés permette à ses administrateurs de mettre en œuvre un programme de négociation aux termes de la </w:t>
      </w:r>
      <w:r w:rsidR="000B08F2" w:rsidRPr="0059083D">
        <w:rPr>
          <w:i/>
          <w:iCs/>
          <w:lang w:val="fr-CA"/>
        </w:rPr>
        <w:t>Rule</w:t>
      </w:r>
      <w:r w:rsidR="00B01EC3" w:rsidRPr="0059083D">
        <w:rPr>
          <w:i/>
          <w:iCs/>
          <w:lang w:val="fr-CA"/>
        </w:rPr>
        <w:t> </w:t>
      </w:r>
      <w:r w:rsidR="000B08F2" w:rsidRPr="00986BEB">
        <w:rPr>
          <w:i/>
          <w:iCs/>
          <w:lang w:val="fr-CA"/>
        </w:rPr>
        <w:t>10</w:t>
      </w:r>
      <w:r w:rsidR="000B08F2" w:rsidRPr="0059083D">
        <w:rPr>
          <w:i/>
          <w:iCs/>
          <w:lang w:val="fr-CA"/>
        </w:rPr>
        <w:t>b</w:t>
      </w:r>
      <w:r w:rsidR="000B08F2" w:rsidRPr="00986BEB">
        <w:rPr>
          <w:i/>
          <w:iCs/>
          <w:lang w:val="fr-CA"/>
        </w:rPr>
        <w:t>5</w:t>
      </w:r>
      <w:r w:rsidR="006740E2" w:rsidRPr="00986BEB">
        <w:rPr>
          <w:i/>
          <w:iCs/>
          <w:lang w:val="fr-CA"/>
        </w:rPr>
        <w:noBreakHyphen/>
      </w:r>
      <w:r w:rsidR="000B08F2" w:rsidRPr="00986BEB">
        <w:rPr>
          <w:i/>
          <w:iCs/>
          <w:lang w:val="fr-CA"/>
        </w:rPr>
        <w:t>1</w:t>
      </w:r>
      <w:r w:rsidR="000B08F2" w:rsidRPr="0059083D">
        <w:rPr>
          <w:lang w:val="fr-CA"/>
        </w:rPr>
        <w:t xml:space="preserve"> </w:t>
      </w:r>
      <w:r w:rsidR="00B01EC3" w:rsidRPr="0059083D">
        <w:rPr>
          <w:lang w:val="fr-CA"/>
        </w:rPr>
        <w:t xml:space="preserve">de la </w:t>
      </w:r>
      <w:r w:rsidR="00F52467" w:rsidRPr="0059083D">
        <w:rPr>
          <w:lang w:val="fr-CA"/>
        </w:rPr>
        <w:t xml:space="preserve">Loi de </w:t>
      </w:r>
      <w:r w:rsidR="00F52467" w:rsidRPr="00986BEB">
        <w:rPr>
          <w:lang w:val="fr-CA"/>
        </w:rPr>
        <w:t>1934</w:t>
      </w:r>
      <w:r w:rsidR="000B08F2" w:rsidRPr="0059083D">
        <w:rPr>
          <w:lang w:val="fr-CA"/>
        </w:rPr>
        <w:t xml:space="preserve"> </w:t>
      </w:r>
      <w:r w:rsidR="00B01EC3" w:rsidRPr="0059083D">
        <w:rPr>
          <w:lang w:val="fr-CA"/>
        </w:rPr>
        <w:t xml:space="preserve">ou de dispositions similaires des </w:t>
      </w:r>
      <w:r w:rsidR="0006561D" w:rsidRPr="0059083D">
        <w:rPr>
          <w:lang w:val="fr-CA"/>
        </w:rPr>
        <w:t>Lois sur les valeurs mobilières canadiennes</w:t>
      </w:r>
      <w:r w:rsidR="000B08F2" w:rsidRPr="0059083D">
        <w:rPr>
          <w:lang w:val="fr-CA"/>
        </w:rPr>
        <w:t>.</w:t>
      </w:r>
    </w:p>
    <w:p w14:paraId="6942EC53" w14:textId="4CB68DB6" w:rsidR="00037C7E" w:rsidRPr="00986BEB" w:rsidRDefault="000B08F2">
      <w:pPr>
        <w:pStyle w:val="StandardL2"/>
        <w:rPr>
          <w:lang w:val="fr-CA"/>
        </w:rPr>
      </w:pPr>
      <w:bookmarkStart w:id="145" w:name="_Ref448380570"/>
      <w:bookmarkStart w:id="146" w:name="_Toc132874721"/>
      <w:r w:rsidRPr="009D4254">
        <w:rPr>
          <w:lang w:val="fr-CA"/>
        </w:rPr>
        <w:t>F</w:t>
      </w:r>
      <w:r w:rsidR="00A04A7C" w:rsidRPr="009D4254">
        <w:rPr>
          <w:lang w:val="fr-CA"/>
        </w:rPr>
        <w:t>ourniture de renseignements</w:t>
      </w:r>
      <w:r w:rsidRPr="009D4254">
        <w:rPr>
          <w:snapToGrid w:val="0"/>
          <w:lang w:val="fr-CA"/>
        </w:rPr>
        <w:t>.</w:t>
      </w:r>
      <w:bookmarkEnd w:id="145"/>
      <w:bookmarkEnd w:id="146"/>
    </w:p>
    <w:p w14:paraId="4771272F" w14:textId="5063E45F" w:rsidR="00037C7E" w:rsidRPr="0059083D" w:rsidRDefault="00A04A7C">
      <w:pPr>
        <w:pStyle w:val="StandardCont2"/>
        <w:rPr>
          <w:lang w:val="fr-CA"/>
        </w:rPr>
      </w:pPr>
      <w:r w:rsidRPr="0059083D">
        <w:rPr>
          <w:snapToGrid w:val="0"/>
          <w:lang w:val="fr-CA"/>
        </w:rPr>
        <w:t xml:space="preserve">Comme condition préalable à l’obligation </w:t>
      </w:r>
      <w:r w:rsidR="000B08F2" w:rsidRPr="0059083D">
        <w:rPr>
          <w:snapToGrid w:val="0"/>
          <w:lang w:val="fr-CA"/>
        </w:rPr>
        <w:t xml:space="preserve">de la Société </w:t>
      </w:r>
      <w:r w:rsidRPr="0059083D">
        <w:rPr>
          <w:snapToGrid w:val="0"/>
          <w:lang w:val="fr-CA"/>
        </w:rPr>
        <w:t xml:space="preserve">de prendre </w:t>
      </w:r>
      <w:r w:rsidR="000E37C3">
        <w:rPr>
          <w:snapToGrid w:val="0"/>
          <w:lang w:val="fr-CA"/>
        </w:rPr>
        <w:t>des</w:t>
      </w:r>
      <w:r w:rsidRPr="0059083D">
        <w:rPr>
          <w:snapToGrid w:val="0"/>
          <w:lang w:val="fr-CA"/>
        </w:rPr>
        <w:t xml:space="preserve"> mesure</w:t>
      </w:r>
      <w:r w:rsidR="000E37C3">
        <w:rPr>
          <w:snapToGrid w:val="0"/>
          <w:lang w:val="fr-CA"/>
        </w:rPr>
        <w:t>s</w:t>
      </w:r>
      <w:r w:rsidRPr="0059083D">
        <w:rPr>
          <w:snapToGrid w:val="0"/>
          <w:lang w:val="fr-CA"/>
        </w:rPr>
        <w:t xml:space="preserve"> conformément au présent </w:t>
      </w:r>
      <w:r w:rsidR="0006561D" w:rsidRPr="0059083D">
        <w:rPr>
          <w:snapToGrid w:val="0"/>
          <w:lang w:val="fr-CA"/>
        </w:rPr>
        <w:t>article </w:t>
      </w:r>
      <w:bookmarkStart w:id="147" w:name="DocXTextRef98"/>
      <w:r w:rsidR="000B08F2" w:rsidRPr="00986BEB">
        <w:rPr>
          <w:snapToGrid w:val="0"/>
          <w:lang w:val="fr-CA"/>
        </w:rPr>
        <w:t>2</w:t>
      </w:r>
      <w:bookmarkEnd w:id="147"/>
      <w:r w:rsidR="000B08F2" w:rsidRPr="0059083D">
        <w:rPr>
          <w:snapToGrid w:val="0"/>
          <w:lang w:val="fr-CA"/>
        </w:rPr>
        <w:t xml:space="preserve"> </w:t>
      </w:r>
      <w:r w:rsidRPr="0059083D">
        <w:rPr>
          <w:snapToGrid w:val="0"/>
          <w:lang w:val="fr-CA"/>
        </w:rPr>
        <w:t xml:space="preserve">à l’égard 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d’un </w:t>
      </w:r>
      <w:r w:rsidR="0006561D" w:rsidRPr="0059083D">
        <w:rPr>
          <w:snapToGrid w:val="0"/>
          <w:lang w:val="fr-CA"/>
        </w:rPr>
        <w:t>Porteur vendeur</w:t>
      </w:r>
      <w:r w:rsidRPr="0059083D">
        <w:rPr>
          <w:snapToGrid w:val="0"/>
          <w:lang w:val="fr-CA"/>
        </w:rPr>
        <w:t xml:space="preserve">, ce </w:t>
      </w:r>
      <w:r w:rsidR="0006561D" w:rsidRPr="0059083D">
        <w:rPr>
          <w:snapToGrid w:val="0"/>
          <w:lang w:val="fr-CA"/>
        </w:rPr>
        <w:t>Porteur</w:t>
      </w:r>
      <w:r w:rsidR="000B08F2" w:rsidRPr="0059083D">
        <w:rPr>
          <w:snapToGrid w:val="0"/>
          <w:lang w:val="fr-CA"/>
        </w:rPr>
        <w:t xml:space="preserve"> </w:t>
      </w:r>
      <w:r w:rsidRPr="0059083D">
        <w:rPr>
          <w:snapToGrid w:val="0"/>
          <w:lang w:val="fr-CA"/>
        </w:rPr>
        <w:t xml:space="preserve">doit fournir à </w:t>
      </w:r>
      <w:r w:rsidR="000B08F2" w:rsidRPr="0059083D">
        <w:rPr>
          <w:snapToGrid w:val="0"/>
          <w:lang w:val="fr-CA"/>
        </w:rPr>
        <w:t xml:space="preserve">la Société </w:t>
      </w:r>
      <w:r w:rsidRPr="0059083D">
        <w:rPr>
          <w:snapToGrid w:val="0"/>
          <w:lang w:val="fr-CA"/>
        </w:rPr>
        <w:t xml:space="preserve">les renseignements raisonnablement nécessaires, à son sujet et au sujet 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qu’il détient et de la méthode qu’il compte utiliser pour les aliéner, pour permettre à la Société d’effectuer l’inscription de</w:t>
      </w:r>
      <w:r w:rsidR="00A849D9">
        <w:rPr>
          <w:snapToGrid w:val="0"/>
          <w:lang w:val="fr-CA"/>
        </w:rPr>
        <w:t>s</w:t>
      </w:r>
      <w:r w:rsidRPr="0059083D">
        <w:rPr>
          <w:snapToGrid w:val="0"/>
          <w:lang w:val="fr-CA"/>
        </w:rPr>
        <w:t xml:space="preserve"> </w:t>
      </w:r>
      <w:r w:rsidR="0006561D" w:rsidRPr="0059083D">
        <w:rPr>
          <w:snapToGrid w:val="0"/>
          <w:lang w:val="fr-CA"/>
        </w:rPr>
        <w:t>Titres à inscrire</w:t>
      </w:r>
      <w:r w:rsidR="00A849D9">
        <w:rPr>
          <w:snapToGrid w:val="0"/>
          <w:lang w:val="fr-CA"/>
        </w:rPr>
        <w:t xml:space="preserve"> du Porteur</w:t>
      </w:r>
      <w:r w:rsidR="000B08F2" w:rsidRPr="0059083D">
        <w:rPr>
          <w:snapToGrid w:val="0"/>
          <w:lang w:val="fr-CA"/>
        </w:rPr>
        <w:t>.</w:t>
      </w:r>
    </w:p>
    <w:p w14:paraId="5AF919A7" w14:textId="4FF7CFAD" w:rsidR="00037C7E" w:rsidRPr="00986BEB" w:rsidRDefault="00A04A7C">
      <w:pPr>
        <w:pStyle w:val="StandardL2"/>
        <w:rPr>
          <w:lang w:val="fr-CA"/>
        </w:rPr>
      </w:pPr>
      <w:bookmarkStart w:id="148" w:name="_Ref448380571"/>
      <w:bookmarkStart w:id="149" w:name="_Toc132874722"/>
      <w:r w:rsidRPr="009D4254">
        <w:rPr>
          <w:lang w:val="fr-CA"/>
        </w:rPr>
        <w:t>Frais d’inscription</w:t>
      </w:r>
      <w:r w:rsidR="000B08F2" w:rsidRPr="009D4254">
        <w:rPr>
          <w:snapToGrid w:val="0"/>
          <w:lang w:val="fr-CA"/>
        </w:rPr>
        <w:t>.</w:t>
      </w:r>
      <w:bookmarkEnd w:id="148"/>
      <w:bookmarkEnd w:id="149"/>
    </w:p>
    <w:p w14:paraId="215A04DF" w14:textId="737F1125" w:rsidR="00037C7E" w:rsidRPr="0059083D" w:rsidRDefault="00A04A7C">
      <w:pPr>
        <w:pStyle w:val="StandardCont2"/>
        <w:rPr>
          <w:lang w:val="fr-CA"/>
        </w:rPr>
      </w:pPr>
      <w:r w:rsidRPr="0059083D">
        <w:rPr>
          <w:snapToGrid w:val="0"/>
          <w:lang w:val="fr-CA"/>
        </w:rPr>
        <w:t xml:space="preserve">Tous les frais </w:t>
      </w:r>
      <w:r w:rsidR="000B08F2" w:rsidRPr="0059083D">
        <w:rPr>
          <w:snapToGrid w:val="0"/>
          <w:lang w:val="fr-CA"/>
        </w:rPr>
        <w:t>(</w:t>
      </w:r>
      <w:r w:rsidRPr="0059083D">
        <w:rPr>
          <w:snapToGrid w:val="0"/>
          <w:lang w:val="fr-CA"/>
        </w:rPr>
        <w:t xml:space="preserve">sauf les </w:t>
      </w:r>
      <w:r w:rsidR="002A0F83" w:rsidRPr="0059083D">
        <w:rPr>
          <w:snapToGrid w:val="0"/>
          <w:lang w:val="fr-CA"/>
        </w:rPr>
        <w:t>Frais de vente</w:t>
      </w:r>
      <w:r w:rsidR="000B08F2" w:rsidRPr="0059083D">
        <w:rPr>
          <w:snapToGrid w:val="0"/>
          <w:lang w:val="fr-CA"/>
        </w:rPr>
        <w:t xml:space="preserve">) </w:t>
      </w:r>
      <w:r w:rsidRPr="0059083D">
        <w:rPr>
          <w:snapToGrid w:val="0"/>
          <w:lang w:val="fr-CA"/>
        </w:rPr>
        <w:t>engagés dans le cadre d’inscriptions, de dépôts ou de visas conformément à l’</w:t>
      </w:r>
      <w:r w:rsidR="0006561D" w:rsidRPr="0059083D">
        <w:rPr>
          <w:snapToGrid w:val="0"/>
          <w:lang w:val="fr-CA"/>
        </w:rPr>
        <w:t>article </w:t>
      </w:r>
      <w:bookmarkStart w:id="150" w:name="DocXTextRef102"/>
      <w:r w:rsidR="000B08F2" w:rsidRPr="00986BEB">
        <w:rPr>
          <w:snapToGrid w:val="0"/>
          <w:lang w:val="fr-CA"/>
        </w:rPr>
        <w:t>2</w:t>
      </w:r>
      <w:bookmarkEnd w:id="150"/>
      <w:r w:rsidR="002206EA" w:rsidRPr="0059083D">
        <w:rPr>
          <w:snapToGrid w:val="0"/>
          <w:lang w:val="fr-CA"/>
        </w:rPr>
        <w:t xml:space="preserve">, </w:t>
      </w:r>
      <w:r w:rsidRPr="0059083D">
        <w:rPr>
          <w:snapToGrid w:val="0"/>
          <w:lang w:val="fr-CA"/>
        </w:rPr>
        <w:t>y compris les droits d’inscription, les droits de dépôt</w:t>
      </w:r>
      <w:r w:rsidR="005A64C7">
        <w:rPr>
          <w:snapToGrid w:val="0"/>
          <w:lang w:val="fr-CA"/>
        </w:rPr>
        <w:t>,</w:t>
      </w:r>
      <w:r w:rsidRPr="0059083D">
        <w:rPr>
          <w:snapToGrid w:val="0"/>
          <w:lang w:val="fr-CA"/>
        </w:rPr>
        <w:t xml:space="preserve"> les droits relatifs aux visas,</w:t>
      </w:r>
      <w:r w:rsidR="002206EA" w:rsidRPr="0059083D">
        <w:rPr>
          <w:snapToGrid w:val="0"/>
          <w:lang w:val="fr-CA"/>
        </w:rPr>
        <w:t xml:space="preserve"> </w:t>
      </w:r>
      <w:r w:rsidRPr="0059083D">
        <w:rPr>
          <w:snapToGrid w:val="0"/>
          <w:lang w:val="fr-CA"/>
        </w:rPr>
        <w:t>les frais d’impression et de comptabilité, les honoraires et débours d</w:t>
      </w:r>
      <w:r w:rsidR="009960DB" w:rsidRPr="0059083D">
        <w:rPr>
          <w:snapToGrid w:val="0"/>
          <w:lang w:val="fr-CA"/>
        </w:rPr>
        <w:t>u</w:t>
      </w:r>
      <w:r w:rsidRPr="0059083D">
        <w:rPr>
          <w:snapToGrid w:val="0"/>
          <w:lang w:val="fr-CA"/>
        </w:rPr>
        <w:t xml:space="preserve"> conseiller juridique de </w:t>
      </w:r>
      <w:r w:rsidR="000B08F2" w:rsidRPr="0059083D">
        <w:rPr>
          <w:snapToGrid w:val="0"/>
          <w:lang w:val="fr-CA"/>
        </w:rPr>
        <w:t>la Société</w:t>
      </w:r>
      <w:r w:rsidR="00844E44">
        <w:rPr>
          <w:snapToGrid w:val="0"/>
          <w:lang w:val="fr-CA"/>
        </w:rPr>
        <w:t xml:space="preserve">, ainsi que </w:t>
      </w:r>
      <w:r w:rsidRPr="0059083D">
        <w:rPr>
          <w:snapToGrid w:val="0"/>
          <w:lang w:val="fr-CA"/>
        </w:rPr>
        <w:t>les frais et débours raisonnables</w:t>
      </w:r>
      <w:r w:rsidR="002206EA" w:rsidRPr="0059083D">
        <w:rPr>
          <w:snapToGrid w:val="0"/>
          <w:lang w:val="fr-CA"/>
        </w:rPr>
        <w:t xml:space="preserve">[, </w:t>
      </w:r>
      <w:r w:rsidRPr="0059083D">
        <w:rPr>
          <w:snapToGrid w:val="0"/>
          <w:lang w:val="fr-CA"/>
        </w:rPr>
        <w:t>jusqu’à concurrence de _____ </w:t>
      </w:r>
      <w:r w:rsidR="002206EA" w:rsidRPr="0059083D">
        <w:rPr>
          <w:snapToGrid w:val="0"/>
          <w:lang w:val="fr-CA"/>
        </w:rPr>
        <w:t>[</w:t>
      </w:r>
      <w:r w:rsidRPr="0059083D">
        <w:rPr>
          <w:snapToGrid w:val="0"/>
          <w:lang w:val="fr-CA"/>
        </w:rPr>
        <w:t>$ CA</w:t>
      </w:r>
      <w:r w:rsidR="00844E44">
        <w:rPr>
          <w:snapToGrid w:val="0"/>
          <w:lang w:val="fr-CA"/>
        </w:rPr>
        <w:t xml:space="preserve"> </w:t>
      </w:r>
      <w:r w:rsidRPr="0059083D">
        <w:rPr>
          <w:snapToGrid w:val="0"/>
          <w:lang w:val="fr-CA"/>
        </w:rPr>
        <w:t>/</w:t>
      </w:r>
      <w:r w:rsidR="00844E44">
        <w:rPr>
          <w:snapToGrid w:val="0"/>
          <w:lang w:val="fr-CA"/>
        </w:rPr>
        <w:t xml:space="preserve"> $ </w:t>
      </w:r>
      <w:r w:rsidRPr="0059083D">
        <w:rPr>
          <w:snapToGrid w:val="0"/>
          <w:lang w:val="fr-CA"/>
        </w:rPr>
        <w:t>US</w:t>
      </w:r>
      <w:r w:rsidR="002206EA" w:rsidRPr="0059083D">
        <w:rPr>
          <w:snapToGrid w:val="0"/>
          <w:lang w:val="fr-CA"/>
        </w:rPr>
        <w:t>] [</w:t>
      </w:r>
      <w:r w:rsidRPr="0059083D">
        <w:rPr>
          <w:snapToGrid w:val="0"/>
          <w:lang w:val="fr-CA"/>
        </w:rPr>
        <w:t>par inscription</w:t>
      </w:r>
      <w:r w:rsidR="002206EA" w:rsidRPr="0059083D">
        <w:rPr>
          <w:snapToGrid w:val="0"/>
          <w:lang w:val="fr-CA"/>
        </w:rPr>
        <w:t xml:space="preserve">],] </w:t>
      </w:r>
      <w:r w:rsidRPr="0059083D">
        <w:rPr>
          <w:snapToGrid w:val="0"/>
          <w:lang w:val="fr-CA"/>
        </w:rPr>
        <w:t xml:space="preserve">d’un conseiller juridique des </w:t>
      </w:r>
      <w:r w:rsidR="0006561D" w:rsidRPr="0059083D">
        <w:rPr>
          <w:snapToGrid w:val="0"/>
          <w:lang w:val="fr-CA"/>
        </w:rPr>
        <w:t>Porteurs vendeurs</w:t>
      </w:r>
      <w:r w:rsidR="002206EA" w:rsidRPr="0059083D">
        <w:rPr>
          <w:snapToGrid w:val="0"/>
          <w:lang w:val="fr-CA"/>
        </w:rPr>
        <w:t xml:space="preserve"> </w:t>
      </w:r>
      <w:r w:rsidR="002206EA" w:rsidRPr="0059083D">
        <w:rPr>
          <w:szCs w:val="24"/>
          <w:lang w:val="fr-CA"/>
        </w:rPr>
        <w:t>[</w:t>
      </w:r>
      <w:r w:rsidRPr="0059083D">
        <w:rPr>
          <w:szCs w:val="24"/>
          <w:lang w:val="fr-CA"/>
        </w:rPr>
        <w:t xml:space="preserve">choisi par les </w:t>
      </w:r>
      <w:r w:rsidR="00E043C9" w:rsidRPr="0059083D">
        <w:rPr>
          <w:szCs w:val="24"/>
          <w:lang w:val="fr-CA"/>
        </w:rPr>
        <w:t>Porteurs</w:t>
      </w:r>
      <w:r w:rsidR="002206EA" w:rsidRPr="0059083D">
        <w:rPr>
          <w:szCs w:val="24"/>
          <w:lang w:val="fr-CA"/>
        </w:rPr>
        <w:t xml:space="preserve"> </w:t>
      </w:r>
      <w:r w:rsidRPr="0059083D">
        <w:rPr>
          <w:szCs w:val="24"/>
          <w:lang w:val="fr-CA"/>
        </w:rPr>
        <w:t xml:space="preserve">de la majorité </w:t>
      </w:r>
      <w:r w:rsidR="000B08F2" w:rsidRPr="0059083D">
        <w:rPr>
          <w:szCs w:val="24"/>
          <w:lang w:val="fr-CA"/>
        </w:rPr>
        <w:t xml:space="preserve">des </w:t>
      </w:r>
      <w:r w:rsidR="0006561D" w:rsidRPr="0059083D">
        <w:rPr>
          <w:szCs w:val="24"/>
          <w:lang w:val="fr-CA"/>
        </w:rPr>
        <w:t>Titres à inscrire</w:t>
      </w:r>
      <w:r w:rsidR="002206EA" w:rsidRPr="0059083D">
        <w:rPr>
          <w:szCs w:val="24"/>
          <w:lang w:val="fr-CA"/>
        </w:rPr>
        <w:t xml:space="preserve"> </w:t>
      </w:r>
      <w:r w:rsidRPr="0059083D">
        <w:rPr>
          <w:szCs w:val="24"/>
          <w:lang w:val="fr-CA"/>
        </w:rPr>
        <w:t>qui doivent faire l’objet d’une inscription</w:t>
      </w:r>
      <w:r w:rsidR="002206EA" w:rsidRPr="0059083D">
        <w:rPr>
          <w:szCs w:val="24"/>
          <w:lang w:val="fr-CA"/>
        </w:rPr>
        <w:t>]</w:t>
      </w:r>
      <w:r w:rsidRPr="0059083D">
        <w:rPr>
          <w:szCs w:val="24"/>
          <w:lang w:val="fr-CA"/>
        </w:rPr>
        <w:t xml:space="preserve"> </w:t>
      </w:r>
      <w:r w:rsidR="000B08F2" w:rsidRPr="0059083D">
        <w:rPr>
          <w:snapToGrid w:val="0"/>
          <w:szCs w:val="16"/>
          <w:lang w:val="fr-CA"/>
        </w:rPr>
        <w:t>(</w:t>
      </w:r>
      <w:r w:rsidRPr="0059083D">
        <w:rPr>
          <w:snapToGrid w:val="0"/>
          <w:szCs w:val="16"/>
          <w:lang w:val="fr-CA"/>
        </w:rPr>
        <w:t xml:space="preserve">le </w:t>
      </w:r>
      <w:r w:rsidR="000B08F2" w:rsidRPr="0059083D">
        <w:rPr>
          <w:snapToGrid w:val="0"/>
          <w:szCs w:val="16"/>
          <w:lang w:val="fr-CA"/>
        </w:rPr>
        <w:t>« </w:t>
      </w:r>
      <w:r w:rsidR="002A0F83" w:rsidRPr="0059083D">
        <w:rPr>
          <w:b/>
          <w:snapToGrid w:val="0"/>
          <w:szCs w:val="16"/>
          <w:lang w:val="fr-CA"/>
        </w:rPr>
        <w:t xml:space="preserve">Conseiller juridique des </w:t>
      </w:r>
      <w:r w:rsidRPr="0059083D">
        <w:rPr>
          <w:b/>
          <w:snapToGrid w:val="0"/>
          <w:szCs w:val="16"/>
          <w:lang w:val="fr-CA"/>
        </w:rPr>
        <w:t>P</w:t>
      </w:r>
      <w:r w:rsidR="002A0F83" w:rsidRPr="0059083D">
        <w:rPr>
          <w:b/>
          <w:snapToGrid w:val="0"/>
          <w:szCs w:val="16"/>
          <w:lang w:val="fr-CA"/>
        </w:rPr>
        <w:t>orteurs vendeurs</w:t>
      </w:r>
      <w:r w:rsidR="000B08F2" w:rsidRPr="0059083D">
        <w:rPr>
          <w:snapToGrid w:val="0"/>
          <w:lang w:val="fr-CA"/>
        </w:rPr>
        <w:t xml:space="preserve"> »), </w:t>
      </w:r>
      <w:r w:rsidRPr="0059083D">
        <w:rPr>
          <w:snapToGrid w:val="0"/>
          <w:lang w:val="fr-CA"/>
        </w:rPr>
        <w:t xml:space="preserve">sont assumés et </w:t>
      </w:r>
      <w:r w:rsidR="00844E44">
        <w:rPr>
          <w:snapToGrid w:val="0"/>
          <w:lang w:val="fr-CA"/>
        </w:rPr>
        <w:t xml:space="preserve">payés </w:t>
      </w:r>
      <w:r w:rsidRPr="0059083D">
        <w:rPr>
          <w:snapToGrid w:val="0"/>
          <w:lang w:val="fr-CA"/>
        </w:rPr>
        <w:t xml:space="preserve">par </w:t>
      </w:r>
      <w:r w:rsidR="000B08F2" w:rsidRPr="0059083D">
        <w:rPr>
          <w:snapToGrid w:val="0"/>
          <w:lang w:val="fr-CA"/>
        </w:rPr>
        <w:t xml:space="preserve">la Société; </w:t>
      </w:r>
      <w:r w:rsidRPr="0059083D">
        <w:rPr>
          <w:snapToGrid w:val="0"/>
          <w:u w:val="single"/>
          <w:lang w:val="fr-CA"/>
        </w:rPr>
        <w:t>il est entendu</w:t>
      </w:r>
      <w:r w:rsidR="000B08F2" w:rsidRPr="0059083D">
        <w:rPr>
          <w:snapToGrid w:val="0"/>
          <w:lang w:val="fr-CA"/>
        </w:rPr>
        <w:t xml:space="preserve">, </w:t>
      </w:r>
      <w:r w:rsidRPr="0059083D">
        <w:rPr>
          <w:snapToGrid w:val="0"/>
          <w:u w:val="single"/>
          <w:lang w:val="fr-CA"/>
        </w:rPr>
        <w:t>toutefois</w:t>
      </w:r>
      <w:r w:rsidR="000B08F2" w:rsidRPr="0059083D">
        <w:rPr>
          <w:snapToGrid w:val="0"/>
          <w:lang w:val="fr-CA"/>
        </w:rPr>
        <w:t xml:space="preserve">, </w:t>
      </w:r>
      <w:r w:rsidRPr="0059083D">
        <w:rPr>
          <w:snapToGrid w:val="0"/>
          <w:lang w:val="fr-CA"/>
        </w:rPr>
        <w:t xml:space="preserve">que </w:t>
      </w:r>
      <w:r w:rsidR="000B08F2" w:rsidRPr="0059083D">
        <w:rPr>
          <w:snapToGrid w:val="0"/>
          <w:lang w:val="fr-CA"/>
        </w:rPr>
        <w:t xml:space="preserve">la Société </w:t>
      </w:r>
      <w:r w:rsidRPr="0059083D">
        <w:rPr>
          <w:snapToGrid w:val="0"/>
          <w:lang w:val="fr-CA"/>
        </w:rPr>
        <w:t xml:space="preserve">n’est pas tenue de payer les frais relatifs à toute procédure d’inscription engagée conformément au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_Ref448380548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 xml:space="preserve">si la demande d’inscription est par la suite retirée à la demande des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de la majorité 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qui devaient faire l’objet d’une inscription </w:t>
      </w:r>
      <w:r w:rsidR="000B08F2" w:rsidRPr="0059083D">
        <w:rPr>
          <w:snapToGrid w:val="0"/>
          <w:lang w:val="fr-CA"/>
        </w:rPr>
        <w:t>(</w:t>
      </w:r>
      <w:r w:rsidRPr="0059083D">
        <w:rPr>
          <w:snapToGrid w:val="0"/>
          <w:lang w:val="fr-CA"/>
        </w:rPr>
        <w:t xml:space="preserve">auquel cas tous les </w:t>
      </w:r>
      <w:r w:rsidR="0006561D" w:rsidRPr="0059083D">
        <w:rPr>
          <w:snapToGrid w:val="0"/>
          <w:lang w:val="fr-CA"/>
        </w:rPr>
        <w:t>Porteurs vendeurs</w:t>
      </w:r>
      <w:r w:rsidR="000B08F2" w:rsidRPr="0059083D">
        <w:rPr>
          <w:snapToGrid w:val="0"/>
          <w:lang w:val="fr-CA"/>
        </w:rPr>
        <w:t xml:space="preserve"> </w:t>
      </w:r>
      <w:r w:rsidRPr="0059083D">
        <w:rPr>
          <w:snapToGrid w:val="0"/>
          <w:lang w:val="fr-CA"/>
        </w:rPr>
        <w:t xml:space="preserve">assument ces frais au prorata du nombre de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qui devaient être inclus dans cette inscription</w:t>
      </w:r>
      <w:r w:rsidR="000B08F2" w:rsidRPr="0059083D">
        <w:rPr>
          <w:snapToGrid w:val="0"/>
          <w:lang w:val="fr-CA"/>
        </w:rPr>
        <w:t xml:space="preserve">), </w:t>
      </w:r>
      <w:r w:rsidRPr="0059083D">
        <w:rPr>
          <w:snapToGrid w:val="0"/>
          <w:lang w:val="fr-CA"/>
        </w:rPr>
        <w:t xml:space="preserve">à moins que les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de la majorité </w:t>
      </w:r>
      <w:r w:rsidR="000B08F2" w:rsidRPr="0059083D">
        <w:rPr>
          <w:snapToGrid w:val="0"/>
          <w:lang w:val="fr-CA"/>
        </w:rPr>
        <w:t xml:space="preserve">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n’acceptent de renoncer à leur droit à une inscription conformément aux </w:t>
      </w:r>
      <w:r w:rsidR="00B45253">
        <w:rPr>
          <w:snapToGrid w:val="0"/>
          <w:u w:val="single"/>
          <w:lang w:val="fr-CA"/>
        </w:rPr>
        <w:t>alinéas</w:t>
      </w:r>
      <w:r w:rsidRPr="0059083D">
        <w:rPr>
          <w:snapToGrid w:val="0"/>
          <w:u w:val="single"/>
          <w:lang w:val="fr-CA"/>
        </w:rPr>
        <w:t> </w:t>
      </w:r>
      <w:r w:rsidR="000B08F2" w:rsidRPr="00986BEB">
        <w:rPr>
          <w:snapToGrid w:val="0"/>
          <w:u w:val="single"/>
          <w:lang w:val="fr-CA"/>
        </w:rPr>
        <w:fldChar w:fldCharType="begin"/>
      </w:r>
      <w:r w:rsidR="000B08F2" w:rsidRPr="00986BEB">
        <w:rPr>
          <w:snapToGrid w:val="0"/>
          <w:u w:val="single"/>
          <w:lang w:val="fr-CA"/>
        </w:rPr>
        <w:instrText xml:space="preserve">  REF _Ref448380549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2.1a)</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ou</w:t>
      </w:r>
      <w:r w:rsidR="000B08F2" w:rsidRPr="0059083D">
        <w:rPr>
          <w:snapToGrid w:val="0"/>
          <w:lang w:val="fr-CA"/>
        </w:rPr>
        <w:t xml:space="preserve"> </w:t>
      </w:r>
      <w:r w:rsidR="000B08F2" w:rsidRPr="00986BEB">
        <w:rPr>
          <w:snapToGrid w:val="0"/>
          <w:u w:val="single"/>
          <w:lang w:val="fr-CA"/>
        </w:rPr>
        <w:fldChar w:fldCharType="begin"/>
      </w:r>
      <w:r w:rsidR="000B08F2" w:rsidRPr="00986BEB">
        <w:rPr>
          <w:snapToGrid w:val="0"/>
          <w:u w:val="single"/>
          <w:lang w:val="fr-CA"/>
        </w:rPr>
        <w:instrText xml:space="preserve">  REF _Ref448380550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2.1b)</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selon le cas</w:t>
      </w:r>
      <w:r w:rsidR="000B08F2" w:rsidRPr="0059083D">
        <w:rPr>
          <w:snapToGrid w:val="0"/>
          <w:lang w:val="fr-CA"/>
        </w:rPr>
        <w:t xml:space="preserve">[; </w:t>
      </w:r>
      <w:r w:rsidRPr="0059083D">
        <w:rPr>
          <w:snapToGrid w:val="0"/>
          <w:lang w:val="fr-CA"/>
        </w:rPr>
        <w:t xml:space="preserve">et </w:t>
      </w:r>
      <w:r w:rsidRPr="00B45253">
        <w:rPr>
          <w:snapToGrid w:val="0"/>
          <w:lang w:val="fr-CA"/>
        </w:rPr>
        <w:t>il est entendu</w:t>
      </w:r>
      <w:r w:rsidR="00F57900" w:rsidRPr="00B45253">
        <w:rPr>
          <w:snapToGrid w:val="0"/>
          <w:lang w:val="fr-CA"/>
        </w:rPr>
        <w:t>,</w:t>
      </w:r>
      <w:r w:rsidRPr="00B45253">
        <w:rPr>
          <w:snapToGrid w:val="0"/>
          <w:lang w:val="fr-CA"/>
        </w:rPr>
        <w:t xml:space="preserve"> </w:t>
      </w:r>
      <w:r w:rsidR="00F57900" w:rsidRPr="00B45253">
        <w:rPr>
          <w:snapToGrid w:val="0"/>
          <w:lang w:val="fr-CA"/>
        </w:rPr>
        <w:t>en outre</w:t>
      </w:r>
      <w:r w:rsidR="00F57900" w:rsidRPr="0059083D">
        <w:rPr>
          <w:snapToGrid w:val="0"/>
          <w:lang w:val="fr-CA"/>
        </w:rPr>
        <w:t xml:space="preserve">, </w:t>
      </w:r>
      <w:r w:rsidRPr="0059083D">
        <w:rPr>
          <w:snapToGrid w:val="0"/>
          <w:lang w:val="fr-CA"/>
        </w:rPr>
        <w:t xml:space="preserve">que si, au moment du retrait de la demande, les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ont pris connaissance d’un changement défavorable important dans la situation, l’entreprise ou les perspectives </w:t>
      </w:r>
      <w:r w:rsidR="000B08F2" w:rsidRPr="0059083D">
        <w:rPr>
          <w:snapToGrid w:val="0"/>
          <w:lang w:val="fr-CA"/>
        </w:rPr>
        <w:t xml:space="preserve">de la Société </w:t>
      </w:r>
      <w:r w:rsidR="005A64C7">
        <w:rPr>
          <w:snapToGrid w:val="0"/>
          <w:lang w:val="fr-CA"/>
        </w:rPr>
        <w:t xml:space="preserve">dont ils n’avaient pas </w:t>
      </w:r>
      <w:r w:rsidRPr="0059083D">
        <w:rPr>
          <w:snapToGrid w:val="0"/>
          <w:lang w:val="fr-CA"/>
        </w:rPr>
        <w:t>connaissance au moment de leur demande et ont retiré la demande dans un délai raisonnable après avoir pris connaissance de ces renseignements</w:t>
      </w:r>
      <w:r w:rsidR="000B08F2" w:rsidRPr="0059083D">
        <w:rPr>
          <w:snapToGrid w:val="0"/>
          <w:lang w:val="fr-CA"/>
        </w:rPr>
        <w:t xml:space="preserve">, </w:t>
      </w:r>
      <w:r w:rsidRPr="0059083D">
        <w:rPr>
          <w:snapToGrid w:val="0"/>
          <w:lang w:val="fr-CA"/>
        </w:rPr>
        <w:t xml:space="preserve">alors les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ne sont pas tenus de payer ces frais et ne renoncent pas à leur droit à une inscription conformément aux </w:t>
      </w:r>
      <w:r w:rsidR="00B45253">
        <w:rPr>
          <w:snapToGrid w:val="0"/>
          <w:u w:val="single"/>
          <w:lang w:val="fr-CA"/>
        </w:rPr>
        <w:t>alinéa</w:t>
      </w:r>
      <w:r w:rsidR="00D03A83">
        <w:rPr>
          <w:snapToGrid w:val="0"/>
          <w:u w:val="single"/>
          <w:lang w:val="fr-CA"/>
        </w:rPr>
        <w:t>s</w:t>
      </w:r>
      <w:r w:rsidRPr="0059083D">
        <w:rPr>
          <w:snapToGrid w:val="0"/>
          <w:u w:val="single"/>
          <w:lang w:val="fr-CA"/>
        </w:rPr>
        <w:t> </w:t>
      </w:r>
      <w:r w:rsidR="000B08F2" w:rsidRPr="00986BEB">
        <w:rPr>
          <w:snapToGrid w:val="0"/>
          <w:u w:val="single"/>
          <w:lang w:val="fr-CA"/>
        </w:rPr>
        <w:fldChar w:fldCharType="begin"/>
      </w:r>
      <w:r w:rsidR="000B08F2" w:rsidRPr="00986BEB">
        <w:rPr>
          <w:snapToGrid w:val="0"/>
          <w:u w:val="single"/>
          <w:lang w:val="fr-CA"/>
        </w:rPr>
        <w:instrText xml:space="preserve">  REF _Ref448380549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2.1a)</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 xml:space="preserve">ou </w:t>
      </w:r>
      <w:r w:rsidR="000B08F2" w:rsidRPr="00986BEB">
        <w:rPr>
          <w:snapToGrid w:val="0"/>
          <w:lang w:val="fr-CA"/>
        </w:rPr>
        <w:fldChar w:fldCharType="begin"/>
      </w:r>
      <w:r w:rsidR="000B08F2" w:rsidRPr="00986BEB">
        <w:rPr>
          <w:snapToGrid w:val="0"/>
          <w:lang w:val="fr-CA"/>
        </w:rPr>
        <w:instrText xml:space="preserve"> REF _Ref448380550 \w \h  \* MERGEFORMAT </w:instrText>
      </w:r>
      <w:r w:rsidR="000B08F2" w:rsidRPr="00986BEB">
        <w:rPr>
          <w:snapToGrid w:val="0"/>
          <w:lang w:val="fr-CA"/>
        </w:rPr>
      </w:r>
      <w:r w:rsidR="000B08F2" w:rsidRPr="00986BEB">
        <w:rPr>
          <w:snapToGrid w:val="0"/>
          <w:lang w:val="fr-CA"/>
        </w:rPr>
        <w:fldChar w:fldCharType="separate"/>
      </w:r>
      <w:r w:rsidR="00AE1D96">
        <w:rPr>
          <w:snapToGrid w:val="0"/>
          <w:lang w:val="fr-CA"/>
        </w:rPr>
        <w:t>2.1b</w:t>
      </w:r>
      <w:r w:rsidR="00AE1D96" w:rsidRPr="00AE1D96">
        <w:rPr>
          <w:snapToGrid w:val="0"/>
          <w:u w:val="single"/>
          <w:lang w:val="fr-CA"/>
        </w:rPr>
        <w:t>)</w:t>
      </w:r>
      <w:r w:rsidR="000B08F2" w:rsidRPr="00986BEB">
        <w:rPr>
          <w:snapToGrid w:val="0"/>
          <w:lang w:val="fr-CA"/>
        </w:rPr>
        <w:fldChar w:fldCharType="end"/>
      </w:r>
      <w:r w:rsidR="000B08F2" w:rsidRPr="0059083D">
        <w:rPr>
          <w:snapToGrid w:val="0"/>
          <w:lang w:val="fr-CA"/>
        </w:rPr>
        <w:t xml:space="preserve">]. </w:t>
      </w:r>
      <w:r w:rsidRPr="0059083D">
        <w:rPr>
          <w:snapToGrid w:val="0"/>
          <w:lang w:val="fr-CA"/>
        </w:rPr>
        <w:t>Tous les</w:t>
      </w:r>
      <w:r w:rsidR="000B08F2" w:rsidRPr="0059083D">
        <w:rPr>
          <w:snapToGrid w:val="0"/>
          <w:lang w:val="fr-CA"/>
        </w:rPr>
        <w:t xml:space="preserve"> </w:t>
      </w:r>
      <w:r w:rsidR="002A0F83" w:rsidRPr="0059083D">
        <w:rPr>
          <w:snapToGrid w:val="0"/>
          <w:lang w:val="fr-CA"/>
        </w:rPr>
        <w:t>Frais de vente</w:t>
      </w:r>
      <w:r w:rsidR="000B08F2" w:rsidRPr="0059083D">
        <w:rPr>
          <w:snapToGrid w:val="0"/>
          <w:lang w:val="fr-CA"/>
        </w:rPr>
        <w:t xml:space="preserve"> </w:t>
      </w:r>
      <w:r w:rsidRPr="0059083D">
        <w:rPr>
          <w:snapToGrid w:val="0"/>
          <w:lang w:val="fr-CA"/>
        </w:rPr>
        <w:t xml:space="preserve">relatifs aux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qui font l’objet d’une inscription conformément au présent</w:t>
      </w:r>
      <w:r w:rsidR="005671A8">
        <w:rPr>
          <w:snapToGrid w:val="0"/>
          <w:lang w:val="fr-CA"/>
        </w:rPr>
        <w:t xml:space="preserve"> </w:t>
      </w:r>
      <w:r w:rsidRPr="0059083D">
        <w:rPr>
          <w:snapToGrid w:val="0"/>
          <w:u w:val="single"/>
          <w:lang w:val="fr-CA"/>
        </w:rPr>
        <w:t>article</w:t>
      </w:r>
      <w:bookmarkStart w:id="151" w:name="DocXTextRef103"/>
      <w:r w:rsidRPr="0059083D">
        <w:rPr>
          <w:snapToGrid w:val="0"/>
          <w:u w:val="single"/>
          <w:lang w:val="fr-CA"/>
        </w:rPr>
        <w:t> </w:t>
      </w:r>
      <w:r w:rsidR="000B08F2" w:rsidRPr="00986BEB">
        <w:rPr>
          <w:snapToGrid w:val="0"/>
          <w:u w:val="single"/>
          <w:lang w:val="fr-CA"/>
        </w:rPr>
        <w:fldChar w:fldCharType="begin"/>
      </w:r>
      <w:r w:rsidR="000B08F2" w:rsidRPr="00986BEB">
        <w:rPr>
          <w:snapToGrid w:val="0"/>
          <w:u w:val="single"/>
          <w:lang w:val="fr-CA"/>
        </w:rPr>
        <w:instrText xml:space="preserve"> REF _Ref448381565 \w \h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2</w:t>
      </w:r>
      <w:r w:rsidR="000B08F2" w:rsidRPr="00986BEB">
        <w:rPr>
          <w:snapToGrid w:val="0"/>
          <w:u w:val="single"/>
          <w:lang w:val="fr-CA"/>
        </w:rPr>
        <w:fldChar w:fldCharType="end"/>
      </w:r>
      <w:bookmarkEnd w:id="151"/>
      <w:r w:rsidR="000B08F2" w:rsidRPr="0059083D">
        <w:rPr>
          <w:snapToGrid w:val="0"/>
          <w:lang w:val="fr-CA"/>
        </w:rPr>
        <w:t xml:space="preserve"> </w:t>
      </w:r>
      <w:bookmarkStart w:id="152" w:name="_cp_text_1_69"/>
      <w:r w:rsidR="002206EA" w:rsidRPr="0059083D">
        <w:rPr>
          <w:szCs w:val="24"/>
          <w:lang w:val="fr-CA"/>
        </w:rPr>
        <w:t>[(</w:t>
      </w:r>
      <w:r w:rsidRPr="0059083D">
        <w:rPr>
          <w:szCs w:val="24"/>
          <w:lang w:val="fr-CA"/>
        </w:rPr>
        <w:t xml:space="preserve">à l’exclusion des honoraires et débours du conseiller juridique d’un </w:t>
      </w:r>
      <w:r w:rsidR="00B45253">
        <w:rPr>
          <w:szCs w:val="24"/>
          <w:lang w:val="fr-CA"/>
        </w:rPr>
        <w:t>P</w:t>
      </w:r>
      <w:r w:rsidRPr="0059083D">
        <w:rPr>
          <w:szCs w:val="24"/>
          <w:lang w:val="fr-CA"/>
        </w:rPr>
        <w:t xml:space="preserve">orteur, sauf le </w:t>
      </w:r>
      <w:r w:rsidR="002A0F83" w:rsidRPr="0059083D">
        <w:rPr>
          <w:szCs w:val="24"/>
          <w:lang w:val="fr-CA"/>
        </w:rPr>
        <w:t xml:space="preserve">Conseiller juridique des </w:t>
      </w:r>
      <w:r w:rsidRPr="0059083D">
        <w:rPr>
          <w:szCs w:val="24"/>
          <w:lang w:val="fr-CA"/>
        </w:rPr>
        <w:t>P</w:t>
      </w:r>
      <w:r w:rsidR="002A0F83" w:rsidRPr="0059083D">
        <w:rPr>
          <w:szCs w:val="24"/>
          <w:lang w:val="fr-CA"/>
        </w:rPr>
        <w:t>orteurs vendeurs</w:t>
      </w:r>
      <w:r w:rsidR="002206EA" w:rsidRPr="0059083D">
        <w:rPr>
          <w:szCs w:val="24"/>
          <w:lang w:val="fr-CA"/>
        </w:rPr>
        <w:t xml:space="preserve">, </w:t>
      </w:r>
      <w:r w:rsidRPr="0059083D">
        <w:rPr>
          <w:szCs w:val="24"/>
          <w:lang w:val="fr-CA"/>
        </w:rPr>
        <w:t xml:space="preserve">qui sont entièrement à la charge du </w:t>
      </w:r>
      <w:r w:rsidR="0006561D" w:rsidRPr="0059083D">
        <w:rPr>
          <w:szCs w:val="24"/>
          <w:lang w:val="fr-CA"/>
        </w:rPr>
        <w:t>Porteur</w:t>
      </w:r>
      <w:r w:rsidR="002206EA" w:rsidRPr="0059083D">
        <w:rPr>
          <w:szCs w:val="24"/>
          <w:lang w:val="fr-CA"/>
        </w:rPr>
        <w:t xml:space="preserve"> </w:t>
      </w:r>
      <w:r w:rsidRPr="0059083D">
        <w:rPr>
          <w:szCs w:val="24"/>
          <w:lang w:val="fr-CA"/>
        </w:rPr>
        <w:t>qui retient les services de ce conseiller juridique</w:t>
      </w:r>
      <w:r w:rsidR="002206EA" w:rsidRPr="0059083D">
        <w:rPr>
          <w:szCs w:val="24"/>
          <w:lang w:val="fr-CA"/>
        </w:rPr>
        <w:t xml:space="preserve">)] </w:t>
      </w:r>
      <w:bookmarkEnd w:id="152"/>
      <w:r w:rsidRPr="0059083D">
        <w:rPr>
          <w:szCs w:val="24"/>
          <w:lang w:val="fr-CA"/>
        </w:rPr>
        <w:t xml:space="preserve">sont assumés et payés par les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au prorata du nombre de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qui sont inscrits pour leur compte</w:t>
      </w:r>
      <w:r w:rsidR="000B08F2" w:rsidRPr="0059083D">
        <w:rPr>
          <w:snapToGrid w:val="0"/>
          <w:lang w:val="fr-CA"/>
        </w:rPr>
        <w:t>.</w:t>
      </w:r>
    </w:p>
    <w:p w14:paraId="15799364" w14:textId="40100600" w:rsidR="00037C7E" w:rsidRPr="00986BEB" w:rsidRDefault="00065803">
      <w:pPr>
        <w:pStyle w:val="StandardL2"/>
        <w:rPr>
          <w:lang w:val="fr-CA"/>
        </w:rPr>
      </w:pPr>
      <w:bookmarkStart w:id="153" w:name="_Ref448380572"/>
      <w:bookmarkStart w:id="154" w:name="_Toc132874723"/>
      <w:r w:rsidRPr="009D4254">
        <w:rPr>
          <w:lang w:val="fr-CA"/>
        </w:rPr>
        <w:t>Report d’inscription</w:t>
      </w:r>
      <w:r w:rsidR="000B08F2" w:rsidRPr="009D4254">
        <w:rPr>
          <w:snapToGrid w:val="0"/>
          <w:lang w:val="fr-CA"/>
        </w:rPr>
        <w:t>.</w:t>
      </w:r>
      <w:bookmarkEnd w:id="153"/>
      <w:bookmarkEnd w:id="154"/>
    </w:p>
    <w:p w14:paraId="74181587" w14:textId="5E9066CA" w:rsidR="00037C7E" w:rsidRPr="0059083D" w:rsidRDefault="00065803">
      <w:pPr>
        <w:pStyle w:val="StandardCont2"/>
        <w:rPr>
          <w:lang w:val="fr-CA"/>
        </w:rPr>
      </w:pPr>
      <w:r w:rsidRPr="0059083D">
        <w:rPr>
          <w:snapToGrid w:val="0"/>
          <w:lang w:val="fr-CA"/>
        </w:rPr>
        <w:t xml:space="preserve">Aucun </w:t>
      </w:r>
      <w:r w:rsidR="0006561D" w:rsidRPr="0059083D">
        <w:rPr>
          <w:snapToGrid w:val="0"/>
          <w:lang w:val="fr-CA"/>
        </w:rPr>
        <w:t>Porteur</w:t>
      </w:r>
      <w:r w:rsidR="000B08F2" w:rsidRPr="0059083D">
        <w:rPr>
          <w:snapToGrid w:val="0"/>
          <w:lang w:val="fr-CA"/>
        </w:rPr>
        <w:t xml:space="preserve"> </w:t>
      </w:r>
      <w:r w:rsidRPr="0059083D">
        <w:rPr>
          <w:snapToGrid w:val="0"/>
          <w:lang w:val="fr-CA"/>
        </w:rPr>
        <w:t xml:space="preserve">n’a le droit d’obtenir ou de demander une injonction qui empêche ou retarde par ailleurs une inscription conformément à </w:t>
      </w:r>
      <w:r w:rsidR="000B08F2" w:rsidRPr="0059083D">
        <w:rPr>
          <w:snapToGrid w:val="0"/>
          <w:lang w:val="fr-CA"/>
        </w:rPr>
        <w:t xml:space="preserve">la présente Convention </w:t>
      </w:r>
      <w:r w:rsidRPr="0059083D">
        <w:rPr>
          <w:snapToGrid w:val="0"/>
          <w:lang w:val="fr-CA"/>
        </w:rPr>
        <w:t xml:space="preserve">en raison d’un éventuel différend quant à l’interprétation ou à l’application du présent </w:t>
      </w:r>
      <w:r w:rsidR="0006561D" w:rsidRPr="0059083D">
        <w:rPr>
          <w:snapToGrid w:val="0"/>
          <w:u w:val="single"/>
          <w:lang w:val="fr-CA"/>
        </w:rPr>
        <w:t>article </w:t>
      </w:r>
      <w:r w:rsidR="000B08F2" w:rsidRPr="00986BEB">
        <w:rPr>
          <w:snapToGrid w:val="0"/>
          <w:u w:val="single"/>
          <w:lang w:val="fr-CA"/>
        </w:rPr>
        <w:fldChar w:fldCharType="begin"/>
      </w:r>
      <w:r w:rsidR="000B08F2" w:rsidRPr="00986BEB">
        <w:rPr>
          <w:snapToGrid w:val="0"/>
          <w:u w:val="single"/>
          <w:lang w:val="fr-CA"/>
        </w:rPr>
        <w:instrText xml:space="preserve"> REF _Ref448381565 \w \h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2</w:t>
      </w:r>
      <w:r w:rsidR="000B08F2" w:rsidRPr="00986BEB">
        <w:rPr>
          <w:snapToGrid w:val="0"/>
          <w:u w:val="single"/>
          <w:lang w:val="fr-CA"/>
        </w:rPr>
        <w:fldChar w:fldCharType="end"/>
      </w:r>
      <w:r w:rsidR="000B08F2" w:rsidRPr="0059083D">
        <w:rPr>
          <w:snapToGrid w:val="0"/>
          <w:lang w:val="fr-CA"/>
        </w:rPr>
        <w:t>.</w:t>
      </w:r>
    </w:p>
    <w:p w14:paraId="5AFED0B4" w14:textId="59765636" w:rsidR="00037C7E" w:rsidRPr="00986BEB" w:rsidRDefault="000B08F2">
      <w:pPr>
        <w:pStyle w:val="StandardL2"/>
        <w:rPr>
          <w:lang w:val="fr-CA"/>
        </w:rPr>
      </w:pPr>
      <w:bookmarkStart w:id="155" w:name="_Ref448380573"/>
      <w:bookmarkStart w:id="156" w:name="_Toc132874724"/>
      <w:r w:rsidRPr="009D4254">
        <w:rPr>
          <w:lang w:val="fr-CA"/>
        </w:rPr>
        <w:t>Indemni</w:t>
      </w:r>
      <w:r w:rsidR="00065803" w:rsidRPr="009D4254">
        <w:rPr>
          <w:lang w:val="fr-CA"/>
        </w:rPr>
        <w:t>sation</w:t>
      </w:r>
      <w:bookmarkStart w:id="157" w:name="_Ref448380695"/>
      <w:r w:rsidRPr="00986BEB">
        <w:rPr>
          <w:rStyle w:val="FootnoteReference"/>
          <w:snapToGrid w:val="0"/>
          <w:lang w:val="fr-CA"/>
        </w:rPr>
        <w:footnoteReference w:id="26"/>
      </w:r>
      <w:bookmarkEnd w:id="155"/>
      <w:bookmarkEnd w:id="157"/>
      <w:r w:rsidR="00065803" w:rsidRPr="0059083D">
        <w:rPr>
          <w:lang w:val="fr-CA"/>
        </w:rPr>
        <w:t>.</w:t>
      </w:r>
      <w:bookmarkEnd w:id="156"/>
    </w:p>
    <w:p w14:paraId="7C99828C" w14:textId="595783B7" w:rsidR="00037C7E" w:rsidRPr="0059083D" w:rsidRDefault="00065803">
      <w:pPr>
        <w:pStyle w:val="StandardCont2"/>
        <w:rPr>
          <w:lang w:val="fr-CA"/>
        </w:rPr>
      </w:pPr>
      <w:r w:rsidRPr="0059083D">
        <w:rPr>
          <w:snapToGrid w:val="0"/>
          <w:lang w:val="fr-CA"/>
        </w:rPr>
        <w:t xml:space="preserve">Si 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sont inclus dans une </w:t>
      </w:r>
      <w:r w:rsidR="002A0F83" w:rsidRPr="0059083D">
        <w:rPr>
          <w:snapToGrid w:val="0"/>
          <w:lang w:val="fr-CA"/>
        </w:rPr>
        <w:t>déclaration d’inscription</w:t>
      </w:r>
      <w:r w:rsidR="000B08F2" w:rsidRPr="0059083D">
        <w:rPr>
          <w:snapToGrid w:val="0"/>
          <w:lang w:val="fr-CA"/>
        </w:rPr>
        <w:t xml:space="preserve"> </w:t>
      </w:r>
      <w:r w:rsidRPr="0059083D">
        <w:rPr>
          <w:snapToGrid w:val="0"/>
          <w:lang w:val="fr-CA"/>
        </w:rPr>
        <w:t xml:space="preserve">aux termes du présent </w:t>
      </w:r>
      <w:r w:rsidR="0006561D" w:rsidRPr="0059083D">
        <w:rPr>
          <w:snapToGrid w:val="0"/>
          <w:u w:val="single"/>
          <w:lang w:val="fr-CA"/>
        </w:rPr>
        <w:t>article </w:t>
      </w:r>
      <w:r w:rsidR="000B08F2" w:rsidRPr="00986BEB">
        <w:rPr>
          <w:snapToGrid w:val="0"/>
          <w:u w:val="single"/>
          <w:lang w:val="fr-CA"/>
        </w:rPr>
        <w:fldChar w:fldCharType="begin"/>
      </w:r>
      <w:r w:rsidR="000B08F2" w:rsidRPr="00986BEB">
        <w:rPr>
          <w:snapToGrid w:val="0"/>
          <w:u w:val="single"/>
          <w:lang w:val="fr-CA"/>
        </w:rPr>
        <w:instrText xml:space="preserve"> REF _Ref448381565 \w \h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2</w:t>
      </w:r>
      <w:r w:rsidR="000B08F2" w:rsidRPr="00986BEB">
        <w:rPr>
          <w:snapToGrid w:val="0"/>
          <w:u w:val="single"/>
          <w:lang w:val="fr-CA"/>
        </w:rPr>
        <w:fldChar w:fldCharType="end"/>
      </w:r>
      <w:r w:rsidRPr="0059083D">
        <w:rPr>
          <w:snapToGrid w:val="0"/>
          <w:lang w:val="fr-CA"/>
        </w:rPr>
        <w:t> </w:t>
      </w:r>
      <w:r w:rsidR="000B08F2" w:rsidRPr="0059083D">
        <w:rPr>
          <w:snapToGrid w:val="0"/>
          <w:lang w:val="fr-CA"/>
        </w:rPr>
        <w:t>:</w:t>
      </w:r>
    </w:p>
    <w:p w14:paraId="28322A0D" w14:textId="75C9F393" w:rsidR="00037C7E" w:rsidRPr="00986BEB" w:rsidRDefault="007B5E5B">
      <w:pPr>
        <w:pStyle w:val="StandardL3"/>
        <w:rPr>
          <w:lang w:val="fr-CA"/>
        </w:rPr>
      </w:pPr>
      <w:bookmarkStart w:id="158" w:name="_Ref448380574"/>
      <w:r w:rsidRPr="0059083D">
        <w:rPr>
          <w:lang w:val="fr-CA"/>
        </w:rPr>
        <w:t>Dans la mesure où la loi le permet</w:t>
      </w:r>
      <w:r w:rsidR="000B08F2" w:rsidRPr="0059083D">
        <w:rPr>
          <w:lang w:val="fr-CA"/>
        </w:rPr>
        <w:t xml:space="preserve">, la Société </w:t>
      </w:r>
      <w:r w:rsidRPr="0059083D">
        <w:rPr>
          <w:lang w:val="fr-CA"/>
        </w:rPr>
        <w:t xml:space="preserve">indemnisera et dégagera de toute responsabilité chaque </w:t>
      </w:r>
      <w:r w:rsidR="0006561D" w:rsidRPr="0059083D">
        <w:rPr>
          <w:lang w:val="fr-CA"/>
        </w:rPr>
        <w:t>Porteur vendeur</w:t>
      </w:r>
      <w:r w:rsidRPr="0059083D">
        <w:rPr>
          <w:lang w:val="fr-CA"/>
        </w:rPr>
        <w:t xml:space="preserve"> et ses associés, membres, dirigeants, administrateurs, </w:t>
      </w:r>
      <w:r w:rsidR="008D64A3">
        <w:rPr>
          <w:lang w:val="fr-CA"/>
        </w:rPr>
        <w:t xml:space="preserve">actionnaires, </w:t>
      </w:r>
      <w:r w:rsidRPr="0059083D">
        <w:rPr>
          <w:lang w:val="fr-CA"/>
        </w:rPr>
        <w:t xml:space="preserve">conseillers juridiques et comptables, ainsi que tout preneur ferme </w:t>
      </w:r>
      <w:r w:rsidR="000B08F2" w:rsidRPr="0059083D">
        <w:rPr>
          <w:lang w:val="fr-CA"/>
        </w:rPr>
        <w:t>(</w:t>
      </w:r>
      <w:r w:rsidRPr="0059083D">
        <w:rPr>
          <w:lang w:val="fr-CA"/>
        </w:rPr>
        <w:t xml:space="preserve">au sens </w:t>
      </w:r>
      <w:r w:rsidR="00620F41">
        <w:rPr>
          <w:lang w:val="fr-CA"/>
        </w:rPr>
        <w:t>de</w:t>
      </w:r>
      <w:r w:rsidRPr="0059083D">
        <w:rPr>
          <w:lang w:val="fr-CA"/>
        </w:rPr>
        <w:t xml:space="preserve"> </w:t>
      </w:r>
      <w:r w:rsidR="00F52467" w:rsidRPr="0059083D">
        <w:rPr>
          <w:lang w:val="fr-CA"/>
        </w:rPr>
        <w:t xml:space="preserve">la Loi de </w:t>
      </w:r>
      <w:r w:rsidR="00F52467" w:rsidRPr="00986BEB">
        <w:rPr>
          <w:lang w:val="fr-CA"/>
        </w:rPr>
        <w:t>1933</w:t>
      </w:r>
      <w:r w:rsidR="000B08F2" w:rsidRPr="0059083D">
        <w:rPr>
          <w:lang w:val="fr-CA"/>
        </w:rPr>
        <w:t xml:space="preserve"> </w:t>
      </w:r>
      <w:r w:rsidR="00620F41">
        <w:rPr>
          <w:lang w:val="fr-CA"/>
        </w:rPr>
        <w:t>(</w:t>
      </w:r>
      <w:r w:rsidR="00620F41" w:rsidRPr="00620F41">
        <w:rPr>
          <w:i/>
          <w:iCs/>
          <w:lang w:val="fr-CA"/>
        </w:rPr>
        <w:t>underwriter</w:t>
      </w:r>
      <w:r w:rsidR="00620F41">
        <w:rPr>
          <w:lang w:val="fr-CA"/>
        </w:rPr>
        <w:t xml:space="preserve">) </w:t>
      </w:r>
      <w:r w:rsidRPr="0059083D">
        <w:rPr>
          <w:lang w:val="fr-CA"/>
        </w:rPr>
        <w:t xml:space="preserve">ou des </w:t>
      </w:r>
      <w:r w:rsidR="0006561D" w:rsidRPr="0059083D">
        <w:rPr>
          <w:lang w:val="fr-CA"/>
        </w:rPr>
        <w:t>Lois sur les valeurs mobilières canadiennes</w:t>
      </w:r>
      <w:r w:rsidR="000B08F2" w:rsidRPr="0059083D">
        <w:rPr>
          <w:lang w:val="fr-CA"/>
        </w:rPr>
        <w:t xml:space="preserve">) </w:t>
      </w:r>
      <w:r w:rsidRPr="0059083D">
        <w:rPr>
          <w:lang w:val="fr-CA"/>
        </w:rPr>
        <w:t xml:space="preserve">de chaque </w:t>
      </w:r>
      <w:r w:rsidR="0006561D" w:rsidRPr="0059083D">
        <w:rPr>
          <w:lang w:val="fr-CA"/>
        </w:rPr>
        <w:t>Porteur</w:t>
      </w:r>
      <w:r w:rsidRPr="0059083D">
        <w:rPr>
          <w:lang w:val="fr-CA"/>
        </w:rPr>
        <w:t xml:space="preserve">, </w:t>
      </w:r>
      <w:r w:rsidR="008D64A3">
        <w:rPr>
          <w:lang w:val="fr-CA"/>
        </w:rPr>
        <w:t>et</w:t>
      </w:r>
      <w:r w:rsidRPr="0059083D">
        <w:rPr>
          <w:lang w:val="fr-CA"/>
        </w:rPr>
        <w:t xml:space="preserve"> chaque Personne, le cas échéant, qui contrôle ce </w:t>
      </w:r>
      <w:r w:rsidR="0006561D" w:rsidRPr="0059083D">
        <w:rPr>
          <w:lang w:val="fr-CA"/>
        </w:rPr>
        <w:t>Porteur</w:t>
      </w:r>
      <w:r w:rsidR="000B08F2" w:rsidRPr="0059083D">
        <w:rPr>
          <w:lang w:val="fr-CA"/>
        </w:rPr>
        <w:t xml:space="preserve"> </w:t>
      </w:r>
      <w:r w:rsidRPr="0059083D">
        <w:rPr>
          <w:lang w:val="fr-CA"/>
        </w:rPr>
        <w:t xml:space="preserve">ou ce preneur ferme au sens de </w:t>
      </w:r>
      <w:r w:rsidR="00F52467" w:rsidRPr="0059083D">
        <w:rPr>
          <w:lang w:val="fr-CA"/>
        </w:rPr>
        <w:t>la Loi</w:t>
      </w:r>
      <w:r w:rsidR="00620F41">
        <w:rPr>
          <w:lang w:val="fr-CA"/>
        </w:rPr>
        <w:t> </w:t>
      </w:r>
      <w:r w:rsidR="00F52467" w:rsidRPr="0059083D">
        <w:rPr>
          <w:lang w:val="fr-CA"/>
        </w:rPr>
        <w:t>de</w:t>
      </w:r>
      <w:r w:rsidR="00620F41">
        <w:rPr>
          <w:lang w:val="fr-CA"/>
        </w:rPr>
        <w:t> </w:t>
      </w:r>
      <w:r w:rsidR="00F52467" w:rsidRPr="00986BEB">
        <w:rPr>
          <w:lang w:val="fr-CA"/>
        </w:rPr>
        <w:t>1933</w:t>
      </w:r>
      <w:r w:rsidR="008D64A3">
        <w:rPr>
          <w:lang w:val="fr-CA"/>
        </w:rPr>
        <w:t>,</w:t>
      </w:r>
      <w:r w:rsidRPr="0059083D">
        <w:rPr>
          <w:lang w:val="fr-CA"/>
        </w:rPr>
        <w:t xml:space="preserve"> de la </w:t>
      </w:r>
      <w:r w:rsidR="00F52467" w:rsidRPr="0059083D">
        <w:rPr>
          <w:lang w:val="fr-CA"/>
        </w:rPr>
        <w:t xml:space="preserve">Loi de </w:t>
      </w:r>
      <w:r w:rsidR="00F52467" w:rsidRPr="00986BEB">
        <w:rPr>
          <w:lang w:val="fr-CA"/>
        </w:rPr>
        <w:t>1934</w:t>
      </w:r>
      <w:r w:rsidR="000B08F2" w:rsidRPr="0059083D">
        <w:rPr>
          <w:lang w:val="fr-CA"/>
        </w:rPr>
        <w:t xml:space="preserve"> </w:t>
      </w:r>
      <w:r w:rsidRPr="0059083D">
        <w:rPr>
          <w:lang w:val="fr-CA"/>
        </w:rPr>
        <w:t xml:space="preserve">ou des </w:t>
      </w:r>
      <w:r w:rsidR="0006561D" w:rsidRPr="0059083D">
        <w:rPr>
          <w:lang w:val="fr-CA"/>
        </w:rPr>
        <w:t>Lois sur les valeurs mobilières canadiennes</w:t>
      </w:r>
      <w:r w:rsidRPr="0059083D">
        <w:rPr>
          <w:lang w:val="fr-CA"/>
        </w:rPr>
        <w:t xml:space="preserve"> applicables</w:t>
      </w:r>
      <w:r w:rsidR="000B08F2" w:rsidRPr="0059083D">
        <w:rPr>
          <w:lang w:val="fr-CA"/>
        </w:rPr>
        <w:t xml:space="preserve">, </w:t>
      </w:r>
      <w:r w:rsidRPr="0059083D">
        <w:rPr>
          <w:lang w:val="fr-CA"/>
        </w:rPr>
        <w:t>à l’égard de tous Dommages</w:t>
      </w:r>
      <w:r w:rsidR="000B08F2" w:rsidRPr="0059083D">
        <w:rPr>
          <w:lang w:val="fr-CA"/>
        </w:rPr>
        <w:t xml:space="preserve">, </w:t>
      </w:r>
      <w:r w:rsidRPr="0059083D">
        <w:rPr>
          <w:lang w:val="fr-CA"/>
        </w:rPr>
        <w:t>et</w:t>
      </w:r>
      <w:r w:rsidR="000B08F2" w:rsidRPr="0059083D">
        <w:rPr>
          <w:lang w:val="fr-CA"/>
        </w:rPr>
        <w:t xml:space="preserve"> la Société </w:t>
      </w:r>
      <w:r w:rsidRPr="0059083D">
        <w:rPr>
          <w:lang w:val="fr-CA"/>
        </w:rPr>
        <w:t xml:space="preserve">paiera à chaque </w:t>
      </w:r>
      <w:r w:rsidR="00636138">
        <w:rPr>
          <w:lang w:val="fr-CA"/>
        </w:rPr>
        <w:t xml:space="preserve">tel </w:t>
      </w:r>
      <w:r w:rsidR="0006561D" w:rsidRPr="0059083D">
        <w:rPr>
          <w:lang w:val="fr-CA"/>
        </w:rPr>
        <w:t>Porteur</w:t>
      </w:r>
      <w:r w:rsidR="00636138">
        <w:rPr>
          <w:lang w:val="fr-CA"/>
        </w:rPr>
        <w:t xml:space="preserve"> ou</w:t>
      </w:r>
      <w:r w:rsidR="008D64A3">
        <w:rPr>
          <w:lang w:val="fr-CA"/>
        </w:rPr>
        <w:t xml:space="preserve"> </w:t>
      </w:r>
      <w:r w:rsidRPr="0059083D">
        <w:rPr>
          <w:lang w:val="fr-CA"/>
        </w:rPr>
        <w:t>preneur ferme</w:t>
      </w:r>
      <w:r w:rsidR="00636138">
        <w:rPr>
          <w:lang w:val="fr-CA"/>
        </w:rPr>
        <w:t xml:space="preserve"> ou à chaque telle </w:t>
      </w:r>
      <w:r w:rsidRPr="0059083D">
        <w:rPr>
          <w:lang w:val="fr-CA"/>
        </w:rPr>
        <w:t xml:space="preserve">Personne détenant le contrôle ou </w:t>
      </w:r>
      <w:r w:rsidR="00D61D06">
        <w:rPr>
          <w:lang w:val="fr-CA"/>
        </w:rPr>
        <w:t xml:space="preserve">à toute </w:t>
      </w:r>
      <w:r w:rsidRPr="0059083D">
        <w:rPr>
          <w:lang w:val="fr-CA"/>
        </w:rPr>
        <w:t xml:space="preserve">autre Personne susmentionnée les frais juridiques ou autres frais </w:t>
      </w:r>
      <w:r w:rsidR="007C4E71" w:rsidRPr="0059083D">
        <w:rPr>
          <w:lang w:val="fr-CA"/>
        </w:rPr>
        <w:t>raisonnablement</w:t>
      </w:r>
      <w:r w:rsidR="000B08F2" w:rsidRPr="0059083D">
        <w:rPr>
          <w:lang w:val="fr-CA"/>
        </w:rPr>
        <w:t xml:space="preserve"> </w:t>
      </w:r>
      <w:r w:rsidRPr="0059083D">
        <w:rPr>
          <w:lang w:val="fr-CA"/>
        </w:rPr>
        <w:t>engagés par ceux-ci dans le cadre de l’examen ou de la contestation de toute réclamation ou procédure dont peuvent découler des Dommages</w:t>
      </w:r>
      <w:r w:rsidR="000B08F2" w:rsidRPr="0059083D">
        <w:rPr>
          <w:lang w:val="fr-CA"/>
        </w:rPr>
        <w:t xml:space="preserve">, </w:t>
      </w:r>
      <w:r w:rsidRPr="0059083D">
        <w:rPr>
          <w:lang w:val="fr-CA"/>
        </w:rPr>
        <w:t>à mesure que ces frais sont engagés</w:t>
      </w:r>
      <w:r w:rsidR="000B08F2" w:rsidRPr="0059083D">
        <w:rPr>
          <w:lang w:val="fr-CA"/>
        </w:rPr>
        <w:t xml:space="preserve">; </w:t>
      </w:r>
      <w:r w:rsidRPr="0059083D">
        <w:rPr>
          <w:u w:val="single"/>
          <w:lang w:val="fr-CA"/>
        </w:rPr>
        <w:t>il est entendu</w:t>
      </w:r>
      <w:r w:rsidR="000B08F2" w:rsidRPr="0059083D">
        <w:rPr>
          <w:lang w:val="fr-CA"/>
        </w:rPr>
        <w:t xml:space="preserve">, </w:t>
      </w:r>
      <w:r w:rsidRPr="0059083D">
        <w:rPr>
          <w:u w:val="single"/>
          <w:lang w:val="fr-CA"/>
        </w:rPr>
        <w:t>toutefois</w:t>
      </w:r>
      <w:r w:rsidR="000B08F2" w:rsidRPr="0059083D">
        <w:rPr>
          <w:lang w:val="fr-CA"/>
        </w:rPr>
        <w:t xml:space="preserve">, </w:t>
      </w:r>
      <w:r w:rsidRPr="0059083D">
        <w:rPr>
          <w:lang w:val="fr-CA"/>
        </w:rPr>
        <w:t>que l’</w:t>
      </w:r>
      <w:r w:rsidR="008D64A3">
        <w:rPr>
          <w:lang w:val="fr-CA"/>
        </w:rPr>
        <w:t>obligation</w:t>
      </w:r>
      <w:r w:rsidRPr="0059083D">
        <w:rPr>
          <w:lang w:val="fr-CA"/>
        </w:rPr>
        <w:t xml:space="preserve"> d’indemnisation prévu</w:t>
      </w:r>
      <w:r w:rsidR="008D64A3">
        <w:rPr>
          <w:lang w:val="fr-CA"/>
        </w:rPr>
        <w:t>e</w:t>
      </w:r>
      <w:r w:rsidRPr="0059083D">
        <w:rPr>
          <w:lang w:val="fr-CA"/>
        </w:rPr>
        <w:t xml:space="preserve"> au présent </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_Ref448380574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2.8a)</w:t>
      </w:r>
      <w:r w:rsidR="000B08F2" w:rsidRPr="00986BEB">
        <w:rPr>
          <w:u w:val="single"/>
          <w:lang w:val="fr-CA"/>
        </w:rPr>
        <w:fldChar w:fldCharType="end"/>
      </w:r>
      <w:r w:rsidR="000B08F2" w:rsidRPr="0059083D">
        <w:rPr>
          <w:lang w:val="fr-CA"/>
        </w:rPr>
        <w:t xml:space="preserve"> </w:t>
      </w:r>
      <w:r w:rsidRPr="0059083D">
        <w:rPr>
          <w:lang w:val="fr-CA"/>
        </w:rPr>
        <w:t xml:space="preserve">ne s’applique pas aux sommes payées en règlement d’une telle réclamation ou procédure si le règlement est effectué sans le consentement </w:t>
      </w:r>
      <w:r w:rsidR="000B08F2" w:rsidRPr="0059083D">
        <w:rPr>
          <w:lang w:val="fr-CA"/>
        </w:rPr>
        <w:t xml:space="preserve">de la Société, </w:t>
      </w:r>
      <w:r w:rsidRPr="0059083D">
        <w:rPr>
          <w:lang w:val="fr-CA"/>
        </w:rPr>
        <w:t xml:space="preserve">consentement </w:t>
      </w:r>
      <w:r w:rsidR="00CF0E5A">
        <w:rPr>
          <w:lang w:val="fr-CA"/>
        </w:rPr>
        <w:t xml:space="preserve">qu’elle </w:t>
      </w:r>
      <w:r w:rsidRPr="0059083D">
        <w:rPr>
          <w:lang w:val="fr-CA"/>
        </w:rPr>
        <w:t xml:space="preserve">ne saurait </w:t>
      </w:r>
      <w:r w:rsidR="00CF0E5A">
        <w:rPr>
          <w:lang w:val="fr-CA"/>
        </w:rPr>
        <w:t xml:space="preserve">refuser </w:t>
      </w:r>
      <w:r w:rsidRPr="0059083D">
        <w:rPr>
          <w:lang w:val="fr-CA"/>
        </w:rPr>
        <w:t>sans motif raisonnable</w:t>
      </w:r>
      <w:r w:rsidR="000B08F2" w:rsidRPr="0059083D">
        <w:rPr>
          <w:lang w:val="fr-CA"/>
        </w:rPr>
        <w:t xml:space="preserve">, </w:t>
      </w:r>
      <w:r w:rsidRPr="0059083D">
        <w:rPr>
          <w:lang w:val="fr-CA"/>
        </w:rPr>
        <w:t xml:space="preserve">et que </w:t>
      </w:r>
      <w:r w:rsidR="000B08F2" w:rsidRPr="0059083D">
        <w:rPr>
          <w:lang w:val="fr-CA"/>
        </w:rPr>
        <w:t xml:space="preserve">la Société </w:t>
      </w:r>
      <w:r w:rsidRPr="0059083D">
        <w:rPr>
          <w:lang w:val="fr-CA"/>
        </w:rPr>
        <w:t>n’est pas responsable des Dommages</w:t>
      </w:r>
      <w:r w:rsidR="000B08F2" w:rsidRPr="0059083D">
        <w:rPr>
          <w:lang w:val="fr-CA"/>
        </w:rPr>
        <w:t xml:space="preserve"> </w:t>
      </w:r>
      <w:r w:rsidR="001373E4">
        <w:rPr>
          <w:lang w:val="fr-CA"/>
        </w:rPr>
        <w:t xml:space="preserve">réclamés </w:t>
      </w:r>
      <w:r w:rsidR="004A2024">
        <w:rPr>
          <w:lang w:val="fr-CA"/>
        </w:rPr>
        <w:t xml:space="preserve">en conséquence ou en raison </w:t>
      </w:r>
      <w:r w:rsidR="00CF0E5A">
        <w:rPr>
          <w:lang w:val="fr-CA"/>
        </w:rPr>
        <w:t>d’</w:t>
      </w:r>
      <w:r w:rsidRPr="0059083D">
        <w:rPr>
          <w:lang w:val="fr-CA"/>
        </w:rPr>
        <w:t xml:space="preserve">actes ou </w:t>
      </w:r>
      <w:r w:rsidR="00CF0E5A">
        <w:rPr>
          <w:lang w:val="fr-CA"/>
        </w:rPr>
        <w:t>d’</w:t>
      </w:r>
      <w:r w:rsidRPr="0059083D">
        <w:rPr>
          <w:lang w:val="fr-CA"/>
        </w:rPr>
        <w:t xml:space="preserve">omissions commis sur la foi de renseignements écrits fournis par un tel Porteur ou preneur ferme ou par une telle Personne détenant le contrôle ou </w:t>
      </w:r>
      <w:r w:rsidR="00D61D06">
        <w:rPr>
          <w:lang w:val="fr-CA"/>
        </w:rPr>
        <w:t xml:space="preserve">toute </w:t>
      </w:r>
      <w:r w:rsidRPr="0059083D">
        <w:rPr>
          <w:lang w:val="fr-CA"/>
        </w:rPr>
        <w:t>autre Personne susmentionnée ou pour leur compte</w:t>
      </w:r>
      <w:r w:rsidR="00636138">
        <w:rPr>
          <w:lang w:val="fr-CA"/>
        </w:rPr>
        <w:t xml:space="preserve"> expressément aux fins </w:t>
      </w:r>
      <w:r w:rsidR="00F27219">
        <w:rPr>
          <w:lang w:val="fr-CA"/>
        </w:rPr>
        <w:t xml:space="preserve">d’utilisation dans le cadre </w:t>
      </w:r>
      <w:r w:rsidRPr="0059083D">
        <w:rPr>
          <w:lang w:val="fr-CA"/>
        </w:rPr>
        <w:t>de cette inscription</w:t>
      </w:r>
      <w:r w:rsidR="00F27219">
        <w:rPr>
          <w:lang w:val="fr-CA"/>
        </w:rPr>
        <w:t>,</w:t>
      </w:r>
      <w:r w:rsidRPr="0059083D">
        <w:rPr>
          <w:lang w:val="fr-CA"/>
        </w:rPr>
        <w:t xml:space="preserve"> et </w:t>
      </w:r>
      <w:r w:rsidR="00636138">
        <w:rPr>
          <w:lang w:val="fr-CA"/>
        </w:rPr>
        <w:t xml:space="preserve">en conformité avec </w:t>
      </w:r>
      <w:r w:rsidRPr="0059083D">
        <w:rPr>
          <w:lang w:val="fr-CA"/>
        </w:rPr>
        <w:t>ces renseignements</w:t>
      </w:r>
      <w:r w:rsidR="000B08F2" w:rsidRPr="0059083D">
        <w:rPr>
          <w:lang w:val="fr-CA"/>
        </w:rPr>
        <w:t>[</w:t>
      </w:r>
      <w:r w:rsidR="00F27219">
        <w:rPr>
          <w:lang w:val="fr-CA"/>
        </w:rPr>
        <w:t xml:space="preserve">, </w:t>
      </w:r>
      <w:r w:rsidRPr="0059083D">
        <w:rPr>
          <w:lang w:val="fr-CA"/>
        </w:rPr>
        <w:t xml:space="preserve">sauf dans la mesure où ces renseignements ont ensuite été corrigés par écrit avant la vente des </w:t>
      </w:r>
      <w:r w:rsidR="0006561D" w:rsidRPr="0059083D">
        <w:rPr>
          <w:lang w:val="fr-CA"/>
        </w:rPr>
        <w:t>Titres à inscrire</w:t>
      </w:r>
      <w:r w:rsidR="000B08F2" w:rsidRPr="0059083D">
        <w:rPr>
          <w:lang w:val="fr-CA"/>
        </w:rPr>
        <w:t xml:space="preserve"> </w:t>
      </w:r>
      <w:r w:rsidRPr="0059083D">
        <w:rPr>
          <w:lang w:val="fr-CA"/>
        </w:rPr>
        <w:t>à la Personne qui fait valoir la réclamation ou au moment de cette vente</w:t>
      </w:r>
      <w:r w:rsidR="000B08F2" w:rsidRPr="0059083D">
        <w:rPr>
          <w:lang w:val="fr-CA"/>
        </w:rPr>
        <w:t>].</w:t>
      </w:r>
      <w:bookmarkEnd w:id="158"/>
    </w:p>
    <w:p w14:paraId="2783EB7F" w14:textId="594C07E6" w:rsidR="00037C7E" w:rsidRPr="00986BEB" w:rsidRDefault="007B5E5B" w:rsidP="007B5E5B">
      <w:pPr>
        <w:pStyle w:val="StandardL3"/>
        <w:rPr>
          <w:lang w:val="fr-CA"/>
        </w:rPr>
      </w:pPr>
      <w:bookmarkStart w:id="159" w:name="_Ref448380575"/>
      <w:r w:rsidRPr="0059083D">
        <w:rPr>
          <w:lang w:val="fr-CA"/>
        </w:rPr>
        <w:t>Dans la mesure où la loi le permet</w:t>
      </w:r>
      <w:r w:rsidR="000B08F2" w:rsidRPr="0059083D">
        <w:rPr>
          <w:lang w:val="fr-CA"/>
        </w:rPr>
        <w:t>,</w:t>
      </w:r>
      <w:r w:rsidRPr="0059083D">
        <w:rPr>
          <w:lang w:val="fr-CA"/>
        </w:rPr>
        <w:t xml:space="preserve"> chaque </w:t>
      </w:r>
      <w:r w:rsidR="0006561D" w:rsidRPr="0059083D">
        <w:rPr>
          <w:lang w:val="fr-CA"/>
        </w:rPr>
        <w:t>Porteur vendeur</w:t>
      </w:r>
      <w:r w:rsidR="000B08F2" w:rsidRPr="0059083D">
        <w:rPr>
          <w:lang w:val="fr-CA"/>
        </w:rPr>
        <w:t xml:space="preserve">, </w:t>
      </w:r>
      <w:r w:rsidRPr="0059083D">
        <w:rPr>
          <w:lang w:val="fr-CA"/>
        </w:rPr>
        <w:t>individuellement et non solidairement</w:t>
      </w:r>
      <w:r w:rsidR="000B08F2" w:rsidRPr="0059083D">
        <w:rPr>
          <w:lang w:val="fr-CA"/>
        </w:rPr>
        <w:t xml:space="preserve">, </w:t>
      </w:r>
      <w:r w:rsidRPr="0059083D">
        <w:rPr>
          <w:lang w:val="fr-CA"/>
        </w:rPr>
        <w:t xml:space="preserve">indemnisera et dégagera de toute responsabilité la </w:t>
      </w:r>
      <w:r w:rsidR="000B08F2" w:rsidRPr="0059083D">
        <w:rPr>
          <w:lang w:val="fr-CA"/>
        </w:rPr>
        <w:t>Société</w:t>
      </w:r>
      <w:r w:rsidRPr="0059083D">
        <w:rPr>
          <w:lang w:val="fr-CA"/>
        </w:rPr>
        <w:t xml:space="preserve"> et chacun de ses administrateurs, chacun de ses dirigeants ayant signé la </w:t>
      </w:r>
      <w:r w:rsidR="002A0F83" w:rsidRPr="0059083D">
        <w:rPr>
          <w:lang w:val="fr-CA"/>
        </w:rPr>
        <w:t>déclaration d’inscription</w:t>
      </w:r>
      <w:r w:rsidR="000B08F2" w:rsidRPr="0059083D">
        <w:rPr>
          <w:lang w:val="fr-CA"/>
        </w:rPr>
        <w:t xml:space="preserve">, </w:t>
      </w:r>
      <w:r w:rsidRPr="0059083D">
        <w:rPr>
          <w:lang w:val="fr-CA"/>
        </w:rPr>
        <w:t xml:space="preserve">chaque Personne </w:t>
      </w:r>
      <w:r w:rsidR="000B08F2" w:rsidRPr="0059083D">
        <w:rPr>
          <w:lang w:val="fr-CA"/>
        </w:rPr>
        <w:t>(</w:t>
      </w:r>
      <w:r w:rsidRPr="0059083D">
        <w:rPr>
          <w:lang w:val="fr-CA"/>
        </w:rPr>
        <w:t>le cas échéant</w:t>
      </w:r>
      <w:r w:rsidR="000B08F2" w:rsidRPr="0059083D">
        <w:rPr>
          <w:lang w:val="fr-CA"/>
        </w:rPr>
        <w:t>)</w:t>
      </w:r>
      <w:r w:rsidRPr="0059083D">
        <w:rPr>
          <w:lang w:val="fr-CA"/>
        </w:rPr>
        <w:t xml:space="preserve"> qui contrôle </w:t>
      </w:r>
      <w:r w:rsidR="000B08F2" w:rsidRPr="0059083D">
        <w:rPr>
          <w:lang w:val="fr-CA"/>
        </w:rPr>
        <w:t xml:space="preserve">la Société </w:t>
      </w:r>
      <w:r w:rsidRPr="0059083D">
        <w:rPr>
          <w:lang w:val="fr-CA"/>
        </w:rPr>
        <w:t xml:space="preserve">au sens </w:t>
      </w:r>
      <w:r w:rsidR="00805517">
        <w:rPr>
          <w:lang w:val="fr-CA"/>
        </w:rPr>
        <w:t xml:space="preserve">de </w:t>
      </w:r>
      <w:r w:rsidRPr="0059083D">
        <w:rPr>
          <w:lang w:val="fr-CA"/>
        </w:rPr>
        <w:t xml:space="preserve">la </w:t>
      </w:r>
      <w:r w:rsidR="00F52467" w:rsidRPr="0059083D">
        <w:rPr>
          <w:lang w:val="fr-CA"/>
        </w:rPr>
        <w:t xml:space="preserve">Loi de </w:t>
      </w:r>
      <w:r w:rsidR="00F52467" w:rsidRPr="00986BEB">
        <w:rPr>
          <w:lang w:val="fr-CA"/>
        </w:rPr>
        <w:t>1933</w:t>
      </w:r>
      <w:r w:rsidR="00805517">
        <w:rPr>
          <w:lang w:val="fr-CA"/>
        </w:rPr>
        <w:t xml:space="preserve"> </w:t>
      </w:r>
      <w:r w:rsidRPr="0059083D">
        <w:rPr>
          <w:lang w:val="fr-CA"/>
        </w:rPr>
        <w:t xml:space="preserve">ou des </w:t>
      </w:r>
      <w:r w:rsidR="0006561D" w:rsidRPr="0059083D">
        <w:rPr>
          <w:lang w:val="fr-CA"/>
        </w:rPr>
        <w:t>Lois sur les valeurs mobilières canadiennes</w:t>
      </w:r>
      <w:r w:rsidRPr="0059083D">
        <w:rPr>
          <w:lang w:val="fr-CA"/>
        </w:rPr>
        <w:t xml:space="preserve"> applicables, les conseillers juridiques et les comptables de </w:t>
      </w:r>
      <w:r w:rsidR="000B08F2" w:rsidRPr="0059083D">
        <w:rPr>
          <w:lang w:val="fr-CA"/>
        </w:rPr>
        <w:t xml:space="preserve">la Société, </w:t>
      </w:r>
      <w:r w:rsidRPr="0059083D">
        <w:rPr>
          <w:lang w:val="fr-CA"/>
        </w:rPr>
        <w:t xml:space="preserve">tout preneur ferme </w:t>
      </w:r>
      <w:r w:rsidR="000B08F2" w:rsidRPr="0059083D">
        <w:rPr>
          <w:lang w:val="fr-CA"/>
        </w:rPr>
        <w:t>(</w:t>
      </w:r>
      <w:r w:rsidRPr="0059083D">
        <w:rPr>
          <w:lang w:val="fr-CA"/>
        </w:rPr>
        <w:t xml:space="preserve">au sens de </w:t>
      </w:r>
      <w:r w:rsidR="00F52467" w:rsidRPr="0059083D">
        <w:rPr>
          <w:lang w:val="fr-CA"/>
        </w:rPr>
        <w:t xml:space="preserve">la Loi de </w:t>
      </w:r>
      <w:r w:rsidR="00F52467" w:rsidRPr="00986BEB">
        <w:rPr>
          <w:lang w:val="fr-CA"/>
        </w:rPr>
        <w:t>1933</w:t>
      </w:r>
      <w:r w:rsidR="000B08F2" w:rsidRPr="0059083D">
        <w:rPr>
          <w:lang w:val="fr-CA"/>
        </w:rPr>
        <w:t xml:space="preserve"> </w:t>
      </w:r>
      <w:r w:rsidR="00720E51">
        <w:rPr>
          <w:lang w:val="fr-CA"/>
        </w:rPr>
        <w:t>(</w:t>
      </w:r>
      <w:r w:rsidR="00720E51" w:rsidRPr="00720E51">
        <w:rPr>
          <w:i/>
          <w:iCs/>
          <w:lang w:val="fr-CA"/>
        </w:rPr>
        <w:t>underwriter</w:t>
      </w:r>
      <w:r w:rsidR="00720E51">
        <w:rPr>
          <w:lang w:val="fr-CA"/>
        </w:rPr>
        <w:t xml:space="preserve">) </w:t>
      </w:r>
      <w:r w:rsidRPr="00720E51">
        <w:rPr>
          <w:lang w:val="fr-CA"/>
        </w:rPr>
        <w:t>ou</w:t>
      </w:r>
      <w:r w:rsidRPr="0059083D">
        <w:rPr>
          <w:lang w:val="fr-CA"/>
        </w:rPr>
        <w:t xml:space="preserve"> des </w:t>
      </w:r>
      <w:r w:rsidR="0006561D" w:rsidRPr="0059083D">
        <w:rPr>
          <w:lang w:val="fr-CA"/>
        </w:rPr>
        <w:t>Lois sur les valeurs mobilières canadiennes</w:t>
      </w:r>
      <w:r w:rsidRPr="0059083D">
        <w:rPr>
          <w:lang w:val="fr-CA"/>
        </w:rPr>
        <w:t xml:space="preserve"> applicables</w:t>
      </w:r>
      <w:r w:rsidR="000B08F2" w:rsidRPr="0059083D">
        <w:rPr>
          <w:lang w:val="fr-CA"/>
        </w:rPr>
        <w:t>)</w:t>
      </w:r>
      <w:r w:rsidR="00EA0A20">
        <w:rPr>
          <w:lang w:val="fr-CA"/>
        </w:rPr>
        <w:t>,</w:t>
      </w:r>
      <w:r w:rsidRPr="0059083D">
        <w:rPr>
          <w:lang w:val="fr-CA"/>
        </w:rPr>
        <w:t xml:space="preserve"> tout</w:t>
      </w:r>
      <w:r w:rsidR="00F27219">
        <w:rPr>
          <w:lang w:val="fr-CA"/>
        </w:rPr>
        <w:t xml:space="preserve"> autre Porteur </w:t>
      </w:r>
      <w:r w:rsidRPr="0059083D">
        <w:rPr>
          <w:lang w:val="fr-CA"/>
        </w:rPr>
        <w:t xml:space="preserve">qui vend des titres aux termes de </w:t>
      </w:r>
      <w:r w:rsidR="00EA0A20">
        <w:rPr>
          <w:lang w:val="fr-CA"/>
        </w:rPr>
        <w:t>la</w:t>
      </w:r>
      <w:r w:rsidRPr="0059083D">
        <w:rPr>
          <w:lang w:val="fr-CA"/>
        </w:rPr>
        <w:t xml:space="preserve"> </w:t>
      </w:r>
      <w:r w:rsidR="002A0F83" w:rsidRPr="0059083D">
        <w:rPr>
          <w:lang w:val="fr-CA"/>
        </w:rPr>
        <w:t>déclaration d’inscription</w:t>
      </w:r>
      <w:r w:rsidR="000B08F2" w:rsidRPr="0059083D">
        <w:rPr>
          <w:lang w:val="fr-CA"/>
        </w:rPr>
        <w:t xml:space="preserve"> </w:t>
      </w:r>
      <w:r w:rsidRPr="0059083D">
        <w:rPr>
          <w:lang w:val="fr-CA"/>
        </w:rPr>
        <w:t xml:space="preserve">et toute Personne </w:t>
      </w:r>
      <w:r w:rsidR="00F27219">
        <w:rPr>
          <w:lang w:val="fr-CA"/>
        </w:rPr>
        <w:t xml:space="preserve">qui </w:t>
      </w:r>
      <w:r w:rsidRPr="0059083D">
        <w:rPr>
          <w:lang w:val="fr-CA"/>
        </w:rPr>
        <w:t xml:space="preserve">contrôle un tel preneur ferme ou autre </w:t>
      </w:r>
      <w:r w:rsidR="0006561D" w:rsidRPr="0059083D">
        <w:rPr>
          <w:lang w:val="fr-CA"/>
        </w:rPr>
        <w:t>Porteur</w:t>
      </w:r>
      <w:r w:rsidR="000B08F2" w:rsidRPr="0059083D">
        <w:rPr>
          <w:lang w:val="fr-CA"/>
        </w:rPr>
        <w:t xml:space="preserve">, </w:t>
      </w:r>
      <w:r w:rsidRPr="0059083D">
        <w:rPr>
          <w:lang w:val="fr-CA"/>
        </w:rPr>
        <w:t>à l’égard de tous Dommages</w:t>
      </w:r>
      <w:r w:rsidR="000B08F2" w:rsidRPr="0059083D">
        <w:rPr>
          <w:lang w:val="fr-CA"/>
        </w:rPr>
        <w:t xml:space="preserve">, </w:t>
      </w:r>
      <w:r w:rsidRPr="0059083D">
        <w:rPr>
          <w:lang w:val="fr-CA"/>
        </w:rPr>
        <w:t xml:space="preserve">dans chaque cas uniquement dans la mesure où ces Dommages </w:t>
      </w:r>
      <w:r w:rsidR="00720E51">
        <w:rPr>
          <w:lang w:val="fr-CA"/>
        </w:rPr>
        <w:t>découlent</w:t>
      </w:r>
      <w:r w:rsidR="001373E4">
        <w:rPr>
          <w:lang w:val="fr-CA"/>
        </w:rPr>
        <w:t xml:space="preserve"> d’</w:t>
      </w:r>
      <w:r w:rsidRPr="0059083D">
        <w:rPr>
          <w:lang w:val="fr-CA"/>
        </w:rPr>
        <w:t xml:space="preserve">actes ou </w:t>
      </w:r>
      <w:r w:rsidR="001373E4">
        <w:rPr>
          <w:lang w:val="fr-CA"/>
        </w:rPr>
        <w:t>d’</w:t>
      </w:r>
      <w:r w:rsidRPr="0059083D">
        <w:rPr>
          <w:lang w:val="fr-CA"/>
        </w:rPr>
        <w:t>omissions commis sur la foi de renseignements écrits fournis par ce Porteur vendeur ou pour son compte expressément aux fins d’utilisation dans le cadre de cette inscription</w:t>
      </w:r>
      <w:r w:rsidR="001373E4">
        <w:rPr>
          <w:lang w:val="fr-CA"/>
        </w:rPr>
        <w:t>,</w:t>
      </w:r>
      <w:r w:rsidRPr="0059083D">
        <w:rPr>
          <w:lang w:val="fr-CA"/>
        </w:rPr>
        <w:t xml:space="preserve"> </w:t>
      </w:r>
      <w:r w:rsidR="001373E4">
        <w:rPr>
          <w:lang w:val="fr-CA"/>
        </w:rPr>
        <w:t xml:space="preserve">et en conformité avec </w:t>
      </w:r>
      <w:r w:rsidRPr="0059083D">
        <w:rPr>
          <w:lang w:val="fr-CA"/>
        </w:rPr>
        <w:t>ces renseignements</w:t>
      </w:r>
      <w:r w:rsidR="00720E51">
        <w:rPr>
          <w:lang w:val="fr-CA"/>
        </w:rPr>
        <w:t xml:space="preserve"> </w:t>
      </w:r>
      <w:r w:rsidRPr="0059083D">
        <w:rPr>
          <w:lang w:val="fr-CA"/>
        </w:rPr>
        <w:t>[</w:t>
      </w:r>
      <w:r w:rsidR="001373E4">
        <w:rPr>
          <w:lang w:val="fr-CA"/>
        </w:rPr>
        <w:t xml:space="preserve">, </w:t>
      </w:r>
      <w:r w:rsidRPr="0059083D">
        <w:rPr>
          <w:lang w:val="fr-CA"/>
        </w:rPr>
        <w:t>sauf dans la mesure où ces renseignements ont ensuite été corrigés par écrit avant la vente des Titres à inscrire à la Personne qui fait valoir la réclamation ou au moment de cette vente]</w:t>
      </w:r>
      <w:r w:rsidR="000B08F2" w:rsidRPr="0059083D">
        <w:rPr>
          <w:lang w:val="fr-CA"/>
        </w:rPr>
        <w:t xml:space="preserve">; </w:t>
      </w:r>
      <w:r w:rsidRPr="0059083D">
        <w:rPr>
          <w:lang w:val="fr-CA"/>
        </w:rPr>
        <w:t xml:space="preserve">et chaque tel </w:t>
      </w:r>
      <w:r w:rsidR="0006561D" w:rsidRPr="0059083D">
        <w:rPr>
          <w:lang w:val="fr-CA"/>
        </w:rPr>
        <w:t>Porteur vendeur</w:t>
      </w:r>
      <w:r w:rsidR="000B08F2" w:rsidRPr="0059083D">
        <w:rPr>
          <w:lang w:val="fr-CA"/>
        </w:rPr>
        <w:t xml:space="preserve"> </w:t>
      </w:r>
      <w:r w:rsidRPr="0059083D">
        <w:rPr>
          <w:lang w:val="fr-CA"/>
        </w:rPr>
        <w:t xml:space="preserve">paiera à </w:t>
      </w:r>
      <w:r w:rsidR="000B08F2" w:rsidRPr="0059083D">
        <w:rPr>
          <w:lang w:val="fr-CA"/>
        </w:rPr>
        <w:t xml:space="preserve">la Société </w:t>
      </w:r>
      <w:r w:rsidRPr="0059083D">
        <w:rPr>
          <w:lang w:val="fr-CA"/>
        </w:rPr>
        <w:t>et à chaque autre Personne susmentionnée les frais juridique</w:t>
      </w:r>
      <w:r w:rsidR="001373E4">
        <w:rPr>
          <w:lang w:val="fr-CA"/>
        </w:rPr>
        <w:t>s</w:t>
      </w:r>
      <w:r w:rsidRPr="0059083D">
        <w:rPr>
          <w:lang w:val="fr-CA"/>
        </w:rPr>
        <w:t xml:space="preserve"> </w:t>
      </w:r>
      <w:r w:rsidR="001373E4">
        <w:rPr>
          <w:lang w:val="fr-CA"/>
        </w:rPr>
        <w:t>ou</w:t>
      </w:r>
      <w:r w:rsidRPr="0059083D">
        <w:rPr>
          <w:lang w:val="fr-CA"/>
        </w:rPr>
        <w:t xml:space="preserve"> autres frais </w:t>
      </w:r>
      <w:r w:rsidR="007C4E71" w:rsidRPr="0059083D">
        <w:rPr>
          <w:lang w:val="fr-CA"/>
        </w:rPr>
        <w:t>raisonnablement</w:t>
      </w:r>
      <w:r w:rsidR="000B08F2" w:rsidRPr="0059083D">
        <w:rPr>
          <w:lang w:val="fr-CA"/>
        </w:rPr>
        <w:t xml:space="preserve"> </w:t>
      </w:r>
      <w:r w:rsidRPr="0059083D">
        <w:rPr>
          <w:lang w:val="fr-CA"/>
        </w:rPr>
        <w:t>engagés par celles</w:t>
      </w:r>
      <w:r w:rsidR="001373E4">
        <w:rPr>
          <w:lang w:val="fr-CA"/>
        </w:rPr>
        <w:noBreakHyphen/>
      </w:r>
      <w:r w:rsidRPr="0059083D">
        <w:rPr>
          <w:lang w:val="fr-CA"/>
        </w:rPr>
        <w:t>ci dans le cadre de l’examen ou de la contestation de toute réclamation ou procédure dont peuvent découler des Dommages</w:t>
      </w:r>
      <w:r w:rsidR="000B08F2" w:rsidRPr="0059083D">
        <w:rPr>
          <w:lang w:val="fr-CA"/>
        </w:rPr>
        <w:t xml:space="preserve">, </w:t>
      </w:r>
      <w:r w:rsidRPr="0059083D">
        <w:rPr>
          <w:lang w:val="fr-CA"/>
        </w:rPr>
        <w:t>à mesure que ces frais sont engagés</w:t>
      </w:r>
      <w:r w:rsidR="000B08F2" w:rsidRPr="0059083D">
        <w:rPr>
          <w:lang w:val="fr-CA"/>
        </w:rPr>
        <w:t xml:space="preserve">; </w:t>
      </w:r>
      <w:r w:rsidRPr="0059083D">
        <w:rPr>
          <w:u w:val="single"/>
          <w:lang w:val="fr-CA"/>
        </w:rPr>
        <w:t>il est entendu</w:t>
      </w:r>
      <w:r w:rsidR="000B08F2" w:rsidRPr="0059083D">
        <w:rPr>
          <w:lang w:val="fr-CA"/>
        </w:rPr>
        <w:t xml:space="preserve">, </w:t>
      </w:r>
      <w:r w:rsidRPr="0059083D">
        <w:rPr>
          <w:u w:val="single"/>
          <w:lang w:val="fr-CA"/>
        </w:rPr>
        <w:t>toutefois</w:t>
      </w:r>
      <w:r w:rsidR="000B08F2" w:rsidRPr="0059083D">
        <w:rPr>
          <w:lang w:val="fr-CA"/>
        </w:rPr>
        <w:t xml:space="preserve">, </w:t>
      </w:r>
      <w:r w:rsidRPr="0059083D">
        <w:rPr>
          <w:lang w:val="fr-CA"/>
        </w:rPr>
        <w:t>que l’</w:t>
      </w:r>
      <w:r w:rsidR="001373E4">
        <w:rPr>
          <w:lang w:val="fr-CA"/>
        </w:rPr>
        <w:t>obligation</w:t>
      </w:r>
      <w:r w:rsidRPr="0059083D">
        <w:rPr>
          <w:lang w:val="fr-CA"/>
        </w:rPr>
        <w:t xml:space="preserve"> d’indemnisation prévu</w:t>
      </w:r>
      <w:r w:rsidR="001373E4">
        <w:rPr>
          <w:lang w:val="fr-CA"/>
        </w:rPr>
        <w:t>e</w:t>
      </w:r>
      <w:r w:rsidRPr="0059083D">
        <w:rPr>
          <w:lang w:val="fr-CA"/>
        </w:rPr>
        <w:t xml:space="preserve"> au présent </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_Ref448380575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2.8b)</w:t>
      </w:r>
      <w:r w:rsidR="000B08F2" w:rsidRPr="00986BEB">
        <w:rPr>
          <w:u w:val="single"/>
          <w:lang w:val="fr-CA"/>
        </w:rPr>
        <w:fldChar w:fldCharType="end"/>
      </w:r>
      <w:r w:rsidR="000B08F2" w:rsidRPr="0059083D">
        <w:rPr>
          <w:lang w:val="fr-CA"/>
        </w:rPr>
        <w:t xml:space="preserve"> </w:t>
      </w:r>
      <w:r w:rsidRPr="0059083D">
        <w:rPr>
          <w:lang w:val="fr-CA"/>
        </w:rPr>
        <w:t xml:space="preserve">ne s’applique pas aux sommes payées en règlement d’une telle réclamation ou procédure si le règlement est effectué sans le consentement du Porteur, consentement </w:t>
      </w:r>
      <w:r w:rsidR="001373E4">
        <w:rPr>
          <w:lang w:val="fr-CA"/>
        </w:rPr>
        <w:t xml:space="preserve">qu’il </w:t>
      </w:r>
      <w:r w:rsidRPr="0059083D">
        <w:rPr>
          <w:lang w:val="fr-CA"/>
        </w:rPr>
        <w:t xml:space="preserve">ne saurait </w:t>
      </w:r>
      <w:r w:rsidR="001373E4">
        <w:rPr>
          <w:lang w:val="fr-CA"/>
        </w:rPr>
        <w:t>refuser</w:t>
      </w:r>
      <w:r w:rsidRPr="0059083D">
        <w:rPr>
          <w:lang w:val="fr-CA"/>
        </w:rPr>
        <w:t xml:space="preserve"> sans motif raisonnable</w:t>
      </w:r>
      <w:r w:rsidR="000B08F2" w:rsidRPr="0059083D">
        <w:rPr>
          <w:lang w:val="fr-CA"/>
        </w:rPr>
        <w:t xml:space="preserve">; </w:t>
      </w:r>
      <w:r w:rsidRPr="0059083D">
        <w:rPr>
          <w:lang w:val="fr-CA"/>
        </w:rPr>
        <w:t xml:space="preserve">et </w:t>
      </w:r>
      <w:r w:rsidRPr="0059083D">
        <w:rPr>
          <w:u w:val="single"/>
          <w:lang w:val="fr-CA"/>
        </w:rPr>
        <w:t>il est entendu</w:t>
      </w:r>
      <w:r w:rsidR="00F57900" w:rsidRPr="0059083D">
        <w:rPr>
          <w:lang w:val="fr-CA"/>
        </w:rPr>
        <w:t xml:space="preserve">, </w:t>
      </w:r>
      <w:r w:rsidR="00F57900" w:rsidRPr="0059083D">
        <w:rPr>
          <w:u w:val="single"/>
          <w:lang w:val="fr-CA"/>
        </w:rPr>
        <w:t>en outre</w:t>
      </w:r>
      <w:r w:rsidR="00F57900" w:rsidRPr="0059083D">
        <w:rPr>
          <w:lang w:val="fr-CA"/>
        </w:rPr>
        <w:t xml:space="preserve">, </w:t>
      </w:r>
      <w:r w:rsidRPr="0059083D">
        <w:rPr>
          <w:lang w:val="fr-CA"/>
        </w:rPr>
        <w:t>qu</w:t>
      </w:r>
      <w:r w:rsidR="001373E4">
        <w:rPr>
          <w:lang w:val="fr-CA"/>
        </w:rPr>
        <w:t>e</w:t>
      </w:r>
      <w:r w:rsidRPr="0059083D">
        <w:rPr>
          <w:lang w:val="fr-CA"/>
        </w:rPr>
        <w:t xml:space="preserve"> le total des sommes payables par un </w:t>
      </w:r>
      <w:r w:rsidR="0006561D" w:rsidRPr="0059083D">
        <w:rPr>
          <w:lang w:val="fr-CA"/>
        </w:rPr>
        <w:t>Porteur</w:t>
      </w:r>
      <w:r w:rsidR="000B08F2" w:rsidRPr="0059083D">
        <w:rPr>
          <w:lang w:val="fr-CA"/>
        </w:rPr>
        <w:t xml:space="preserve"> </w:t>
      </w:r>
      <w:r w:rsidRPr="0059083D">
        <w:rPr>
          <w:lang w:val="fr-CA"/>
        </w:rPr>
        <w:t>à titre d’indemnité ou d</w:t>
      </w:r>
      <w:r w:rsidR="007B2720">
        <w:rPr>
          <w:lang w:val="fr-CA"/>
        </w:rPr>
        <w:t xml:space="preserve">e contribution </w:t>
      </w:r>
      <w:r w:rsidRPr="0059083D">
        <w:rPr>
          <w:lang w:val="fr-CA"/>
        </w:rPr>
        <w:t xml:space="preserve">aux termes des </w:t>
      </w:r>
      <w:r w:rsidR="0006561D" w:rsidRPr="0059083D">
        <w:rPr>
          <w:u w:val="single"/>
          <w:lang w:val="fr-CA"/>
        </w:rPr>
        <w:t>alinéa</w:t>
      </w:r>
      <w:r w:rsidRPr="0059083D">
        <w:rPr>
          <w:u w:val="single"/>
          <w:lang w:val="fr-CA"/>
        </w:rPr>
        <w:t>s</w:t>
      </w:r>
      <w:r w:rsidR="0006561D" w:rsidRPr="0059083D">
        <w:rPr>
          <w:u w:val="single"/>
          <w:lang w:val="fr-CA"/>
        </w:rPr>
        <w:t> </w:t>
      </w:r>
      <w:r w:rsidR="000B08F2" w:rsidRPr="00986BEB">
        <w:rPr>
          <w:u w:val="single"/>
          <w:lang w:val="fr-CA"/>
        </w:rPr>
        <w:fldChar w:fldCharType="begin"/>
      </w:r>
      <w:r w:rsidR="000B08F2" w:rsidRPr="00986BEB">
        <w:rPr>
          <w:u w:val="single"/>
          <w:lang w:val="fr-CA"/>
        </w:rPr>
        <w:instrText xml:space="preserve">  REF _Ref448380575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2.8b)</w:t>
      </w:r>
      <w:r w:rsidR="000B08F2" w:rsidRPr="00986BEB">
        <w:rPr>
          <w:u w:val="single"/>
          <w:lang w:val="fr-CA"/>
        </w:rPr>
        <w:fldChar w:fldCharType="end"/>
      </w:r>
      <w:r w:rsidR="000B08F2" w:rsidRPr="0059083D">
        <w:rPr>
          <w:lang w:val="fr-CA"/>
        </w:rPr>
        <w:t xml:space="preserve"> </w:t>
      </w:r>
      <w:r w:rsidRPr="0059083D">
        <w:rPr>
          <w:lang w:val="fr-CA"/>
        </w:rPr>
        <w:t>et</w:t>
      </w:r>
      <w:r w:rsidR="000B08F2" w:rsidRPr="0059083D">
        <w:rPr>
          <w:lang w:val="fr-CA"/>
        </w:rPr>
        <w:t xml:space="preserve"> </w:t>
      </w:r>
      <w:r w:rsidR="000B08F2" w:rsidRPr="00986BEB">
        <w:rPr>
          <w:u w:val="single"/>
          <w:lang w:val="fr-CA"/>
        </w:rPr>
        <w:fldChar w:fldCharType="begin"/>
      </w:r>
      <w:r w:rsidR="000B08F2" w:rsidRPr="00986BEB">
        <w:rPr>
          <w:u w:val="single"/>
          <w:lang w:val="fr-CA"/>
        </w:rPr>
        <w:instrText xml:space="preserve">  REF _Ref448380577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2.8d)</w:t>
      </w:r>
      <w:r w:rsidR="000B08F2" w:rsidRPr="00986BEB">
        <w:rPr>
          <w:u w:val="single"/>
          <w:lang w:val="fr-CA"/>
        </w:rPr>
        <w:fldChar w:fldCharType="end"/>
      </w:r>
      <w:r w:rsidR="000B08F2" w:rsidRPr="0059083D">
        <w:rPr>
          <w:lang w:val="fr-CA"/>
        </w:rPr>
        <w:t xml:space="preserve"> </w:t>
      </w:r>
      <w:r w:rsidRPr="0059083D">
        <w:rPr>
          <w:lang w:val="fr-CA"/>
        </w:rPr>
        <w:t xml:space="preserve">ne doit </w:t>
      </w:r>
      <w:r w:rsidR="00EA0A20">
        <w:rPr>
          <w:lang w:val="fr-CA"/>
        </w:rPr>
        <w:t xml:space="preserve">en aucun cas </w:t>
      </w:r>
      <w:r w:rsidRPr="0059083D">
        <w:rPr>
          <w:lang w:val="fr-CA"/>
        </w:rPr>
        <w:t xml:space="preserve">dépasser le produit que le Porteur tire du placement </w:t>
      </w:r>
      <w:r w:rsidR="000B08F2" w:rsidRPr="0059083D">
        <w:rPr>
          <w:lang w:val="fr-CA"/>
        </w:rPr>
        <w:t>(</w:t>
      </w:r>
      <w:r w:rsidRPr="0059083D">
        <w:rPr>
          <w:lang w:val="fr-CA"/>
        </w:rPr>
        <w:t xml:space="preserve">déduction faite des </w:t>
      </w:r>
      <w:r w:rsidR="002A0F83" w:rsidRPr="0059083D">
        <w:rPr>
          <w:lang w:val="fr-CA"/>
        </w:rPr>
        <w:t>Frais de vente</w:t>
      </w:r>
      <w:r w:rsidR="000B08F2" w:rsidRPr="0059083D">
        <w:rPr>
          <w:lang w:val="fr-CA"/>
        </w:rPr>
        <w:t xml:space="preserve"> </w:t>
      </w:r>
      <w:r w:rsidRPr="0059083D">
        <w:rPr>
          <w:lang w:val="fr-CA"/>
        </w:rPr>
        <w:t xml:space="preserve">payés par le </w:t>
      </w:r>
      <w:r w:rsidR="0006561D" w:rsidRPr="0059083D">
        <w:rPr>
          <w:lang w:val="fr-CA"/>
        </w:rPr>
        <w:t>Porteur</w:t>
      </w:r>
      <w:r w:rsidR="000B08F2" w:rsidRPr="0059083D">
        <w:rPr>
          <w:lang w:val="fr-CA"/>
        </w:rPr>
        <w:t xml:space="preserve">), </w:t>
      </w:r>
      <w:r w:rsidRPr="0059083D">
        <w:rPr>
          <w:lang w:val="fr-CA"/>
        </w:rPr>
        <w:t xml:space="preserve">sauf en cas de fraude ou d’inconduite délibérée du </w:t>
      </w:r>
      <w:r w:rsidR="0006561D" w:rsidRPr="0059083D">
        <w:rPr>
          <w:lang w:val="fr-CA"/>
        </w:rPr>
        <w:t>Porteur</w:t>
      </w:r>
      <w:r w:rsidR="000B08F2" w:rsidRPr="0059083D">
        <w:rPr>
          <w:lang w:val="fr-CA"/>
        </w:rPr>
        <w:t>.</w:t>
      </w:r>
      <w:bookmarkEnd w:id="159"/>
    </w:p>
    <w:p w14:paraId="0AEE3883" w14:textId="314B8AB8" w:rsidR="00037C7E" w:rsidRPr="00986BEB" w:rsidRDefault="007B5E5B">
      <w:pPr>
        <w:pStyle w:val="StandardL3"/>
        <w:rPr>
          <w:lang w:val="fr-CA"/>
        </w:rPr>
      </w:pPr>
      <w:bookmarkStart w:id="160" w:name="_Ref448380576"/>
      <w:r w:rsidRPr="0059083D">
        <w:rPr>
          <w:lang w:val="fr-CA"/>
        </w:rPr>
        <w:t xml:space="preserve">Dans les meilleurs délais après la réception par une partie indemnisée aux termes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xml:space="preserve"> </w:t>
      </w:r>
      <w:r w:rsidRPr="0059083D">
        <w:rPr>
          <w:lang w:val="fr-CA"/>
        </w:rPr>
        <w:t xml:space="preserve">d’un avis de l’introduction de toute action </w:t>
      </w:r>
      <w:r w:rsidR="000B08F2" w:rsidRPr="0059083D">
        <w:rPr>
          <w:lang w:val="fr-CA"/>
        </w:rPr>
        <w:t>(</w:t>
      </w:r>
      <w:r w:rsidRPr="0059083D">
        <w:rPr>
          <w:lang w:val="fr-CA"/>
        </w:rPr>
        <w:t>y compris toute action gouvernementale</w:t>
      </w:r>
      <w:r w:rsidR="000B08F2" w:rsidRPr="0059083D">
        <w:rPr>
          <w:lang w:val="fr-CA"/>
        </w:rPr>
        <w:t xml:space="preserve">) </w:t>
      </w:r>
      <w:r w:rsidRPr="0059083D">
        <w:rPr>
          <w:lang w:val="fr-CA"/>
        </w:rPr>
        <w:t>à l’égard de laquelle une partie peut avoir droit à une indemnisation aux termes des présentes, si</w:t>
      </w:r>
      <w:r w:rsidR="000B08F2" w:rsidRPr="0059083D">
        <w:rPr>
          <w:lang w:val="fr-CA"/>
        </w:rPr>
        <w:t xml:space="preserve"> </w:t>
      </w:r>
      <w:r w:rsidRPr="0059083D">
        <w:rPr>
          <w:lang w:val="fr-CA"/>
        </w:rPr>
        <w:t xml:space="preserve">une réclamation à cet égard doit être présentée contre </w:t>
      </w:r>
      <w:r w:rsidR="00B43D5A">
        <w:rPr>
          <w:lang w:val="fr-CA"/>
        </w:rPr>
        <w:t xml:space="preserve">une partie indemnisatrice </w:t>
      </w:r>
      <w:r w:rsidRPr="0059083D">
        <w:rPr>
          <w:lang w:val="fr-CA"/>
        </w:rPr>
        <w:t xml:space="preserve">aux termes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xml:space="preserve">, </w:t>
      </w:r>
      <w:r w:rsidR="00B43D5A">
        <w:rPr>
          <w:lang w:val="fr-CA"/>
        </w:rPr>
        <w:t xml:space="preserve">la partie indemnisée donnera à la partie indemnisatrice un avis de </w:t>
      </w:r>
      <w:r w:rsidRPr="0059083D">
        <w:rPr>
          <w:lang w:val="fr-CA"/>
        </w:rPr>
        <w:t>l’introduction de cette action</w:t>
      </w:r>
      <w:r w:rsidR="000B08F2" w:rsidRPr="0059083D">
        <w:rPr>
          <w:lang w:val="fr-CA"/>
        </w:rPr>
        <w:t xml:space="preserve">. </w:t>
      </w:r>
      <w:r w:rsidRPr="0059083D">
        <w:rPr>
          <w:lang w:val="fr-CA"/>
        </w:rPr>
        <w:t xml:space="preserve">La partie indemnisatrice a le droit de participer à cette action et, </w:t>
      </w:r>
      <w:r w:rsidR="00B43D5A">
        <w:rPr>
          <w:lang w:val="fr-CA"/>
        </w:rPr>
        <w:t xml:space="preserve">si elle </w:t>
      </w:r>
      <w:r w:rsidRPr="0059083D">
        <w:rPr>
          <w:lang w:val="fr-CA"/>
        </w:rPr>
        <w:t xml:space="preserve">le souhaite, d’y participer conjointement avec toute autre partie indemnisatrice à laquelle un avis a été </w:t>
      </w:r>
      <w:r w:rsidR="00B43D5A">
        <w:rPr>
          <w:lang w:val="fr-CA"/>
        </w:rPr>
        <w:t>donné</w:t>
      </w:r>
      <w:r w:rsidRPr="0059083D">
        <w:rPr>
          <w:lang w:val="fr-CA"/>
        </w:rPr>
        <w:t xml:space="preserve">, </w:t>
      </w:r>
      <w:r w:rsidR="00FF58D1">
        <w:rPr>
          <w:lang w:val="fr-CA"/>
        </w:rPr>
        <w:t xml:space="preserve">ainsi que </w:t>
      </w:r>
      <w:r w:rsidRPr="0059083D">
        <w:rPr>
          <w:lang w:val="fr-CA"/>
        </w:rPr>
        <w:t xml:space="preserve">de présenter une défense avec l’aide d’un conseiller juridique que les parties jugent </w:t>
      </w:r>
      <w:r w:rsidR="004819E1">
        <w:rPr>
          <w:lang w:val="fr-CA"/>
        </w:rPr>
        <w:t>toutes deux</w:t>
      </w:r>
      <w:r w:rsidRPr="0059083D">
        <w:rPr>
          <w:lang w:val="fr-CA"/>
        </w:rPr>
        <w:t xml:space="preserve"> satisfaisant</w:t>
      </w:r>
      <w:r w:rsidR="000B08F2" w:rsidRPr="0059083D">
        <w:rPr>
          <w:lang w:val="fr-CA"/>
        </w:rPr>
        <w:t xml:space="preserve">; </w:t>
      </w:r>
      <w:r w:rsidRPr="0059083D">
        <w:rPr>
          <w:u w:val="single"/>
          <w:lang w:val="fr-CA"/>
        </w:rPr>
        <w:t>il est entendu</w:t>
      </w:r>
      <w:r w:rsidR="000B08F2" w:rsidRPr="0059083D">
        <w:rPr>
          <w:lang w:val="fr-CA"/>
        </w:rPr>
        <w:t xml:space="preserve">, </w:t>
      </w:r>
      <w:r w:rsidRPr="0059083D">
        <w:rPr>
          <w:u w:val="single"/>
          <w:lang w:val="fr-CA"/>
        </w:rPr>
        <w:t>toutefois</w:t>
      </w:r>
      <w:r w:rsidR="000B08F2" w:rsidRPr="0059083D">
        <w:rPr>
          <w:lang w:val="fr-CA"/>
        </w:rPr>
        <w:t xml:space="preserve">, </w:t>
      </w:r>
      <w:r w:rsidRPr="0059083D">
        <w:rPr>
          <w:lang w:val="fr-CA"/>
        </w:rPr>
        <w:t xml:space="preserve">qu’une partie indemnisée </w:t>
      </w:r>
      <w:r w:rsidR="000B08F2" w:rsidRPr="0059083D">
        <w:rPr>
          <w:lang w:val="fr-CA"/>
        </w:rPr>
        <w:t>(</w:t>
      </w:r>
      <w:r w:rsidRPr="0059083D">
        <w:rPr>
          <w:lang w:val="fr-CA"/>
        </w:rPr>
        <w:t>collectivement avec toutes les autres parties indemnisées qui peuvent être représentées sans conflit d’intérêts par le même conseiller juridique</w:t>
      </w:r>
      <w:r w:rsidR="000B08F2" w:rsidRPr="0059083D">
        <w:rPr>
          <w:lang w:val="fr-CA"/>
        </w:rPr>
        <w:t xml:space="preserve">) </w:t>
      </w:r>
      <w:r w:rsidRPr="0059083D">
        <w:rPr>
          <w:lang w:val="fr-CA"/>
        </w:rPr>
        <w:t xml:space="preserve">a le droit de retenir les services d’un conseiller juridique distinct, dont les honoraires et débours seront payés par la partie indemnisatrice, s’il n’est pas approprié que cette partie indemnisée soit représentée par le conseiller juridique dont la partie indemnisatrice a retenu les services en raison </w:t>
      </w:r>
      <w:r w:rsidR="00A833C2">
        <w:rPr>
          <w:lang w:val="fr-CA"/>
        </w:rPr>
        <w:t xml:space="preserve">d’une divergence </w:t>
      </w:r>
      <w:r w:rsidRPr="0059083D">
        <w:rPr>
          <w:lang w:val="fr-CA"/>
        </w:rPr>
        <w:t>d’intérêts réel</w:t>
      </w:r>
      <w:r w:rsidR="00A833C2">
        <w:rPr>
          <w:lang w:val="fr-CA"/>
        </w:rPr>
        <w:t>le</w:t>
      </w:r>
      <w:r w:rsidRPr="0059083D">
        <w:rPr>
          <w:lang w:val="fr-CA"/>
        </w:rPr>
        <w:t xml:space="preserve"> ou potentiel</w:t>
      </w:r>
      <w:r w:rsidR="00A833C2">
        <w:rPr>
          <w:lang w:val="fr-CA"/>
        </w:rPr>
        <w:t>le</w:t>
      </w:r>
      <w:r w:rsidRPr="0059083D">
        <w:rPr>
          <w:lang w:val="fr-CA"/>
        </w:rPr>
        <w:t xml:space="preserve"> entre la partie indemnisée et toute autre partie représentée par ce conseiller juridique dans le cadre de l’action en question</w:t>
      </w:r>
      <w:r w:rsidR="000B08F2" w:rsidRPr="0059083D">
        <w:rPr>
          <w:lang w:val="fr-CA"/>
        </w:rPr>
        <w:t>. [</w:t>
      </w:r>
      <w:r w:rsidRPr="0059083D">
        <w:rPr>
          <w:lang w:val="fr-CA"/>
        </w:rPr>
        <w:t xml:space="preserve">L’omission de donner </w:t>
      </w:r>
      <w:r w:rsidR="00FF58D1">
        <w:rPr>
          <w:lang w:val="fr-CA"/>
        </w:rPr>
        <w:t>l’</w:t>
      </w:r>
      <w:r w:rsidRPr="0059083D">
        <w:rPr>
          <w:lang w:val="fr-CA"/>
        </w:rPr>
        <w:t xml:space="preserve">avis à la partie indemnisatrice dans un délai raisonnable avant l’introduction </w:t>
      </w:r>
      <w:r w:rsidR="00A833C2">
        <w:rPr>
          <w:lang w:val="fr-CA"/>
        </w:rPr>
        <w:t>de l’</w:t>
      </w:r>
      <w:r w:rsidRPr="0059083D">
        <w:rPr>
          <w:lang w:val="fr-CA"/>
        </w:rPr>
        <w:t>action libère la partie indemnisatrice de toute responsabilité envers la partie indemnisé</w:t>
      </w:r>
      <w:r w:rsidR="00443986" w:rsidRPr="0059083D">
        <w:rPr>
          <w:lang w:val="fr-CA"/>
        </w:rPr>
        <w:t>e</w:t>
      </w:r>
      <w:r w:rsidRPr="0059083D">
        <w:rPr>
          <w:lang w:val="fr-CA"/>
        </w:rPr>
        <w:t xml:space="preserve"> aux termes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w:t>
      </w:r>
      <w:r w:rsidRPr="0059083D">
        <w:rPr>
          <w:lang w:val="fr-CA"/>
        </w:rPr>
        <w:t>mais uniquement</w:t>
      </w:r>
      <w:r w:rsidR="000B08F2" w:rsidRPr="0059083D">
        <w:rPr>
          <w:lang w:val="fr-CA"/>
        </w:rPr>
        <w:t xml:space="preserve">] </w:t>
      </w:r>
      <w:r w:rsidRPr="0059083D">
        <w:rPr>
          <w:lang w:val="fr-CA"/>
        </w:rPr>
        <w:t>dans la mesure où cette omission porte gravement atteinte à la capacité de la partie indemnisatrice de présenter une défense</w:t>
      </w:r>
      <w:r w:rsidR="000B08F2" w:rsidRPr="0059083D">
        <w:rPr>
          <w:lang w:val="fr-CA"/>
        </w:rPr>
        <w:t xml:space="preserve">. </w:t>
      </w:r>
      <w:r w:rsidRPr="009D4254">
        <w:rPr>
          <w:lang w:val="fr-CA"/>
        </w:rPr>
        <w:t xml:space="preserve">L’omission de donner l’avis à la partie indemnisatrice ne libère pas cette dernière des responsabilités qu’elle pourrait avoir envers une partie indemnisée autrement qu’aux termes du présent </w:t>
      </w:r>
      <w:r w:rsidR="002A0F83" w:rsidRPr="009D4254">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9D4254">
        <w:rPr>
          <w:lang w:val="fr-CA"/>
        </w:rPr>
        <w:t>.]</w:t>
      </w:r>
      <w:bookmarkEnd w:id="160"/>
    </w:p>
    <w:p w14:paraId="6FFAB71A" w14:textId="65693FC4" w:rsidR="00037C7E" w:rsidRPr="00986BEB" w:rsidRDefault="004B449C">
      <w:pPr>
        <w:pStyle w:val="StandardL3"/>
        <w:rPr>
          <w:lang w:val="fr-CA"/>
        </w:rPr>
      </w:pPr>
      <w:bookmarkStart w:id="161" w:name="_Ref448380577"/>
      <w:r w:rsidRPr="0059083D">
        <w:rPr>
          <w:lang w:val="fr-CA"/>
        </w:rPr>
        <w:t>Afin de prévoir un</w:t>
      </w:r>
      <w:r w:rsidR="007B2720">
        <w:rPr>
          <w:lang w:val="fr-CA"/>
        </w:rPr>
        <w:t>e contribution</w:t>
      </w:r>
      <w:r w:rsidRPr="0059083D">
        <w:rPr>
          <w:lang w:val="fr-CA"/>
        </w:rPr>
        <w:t xml:space="preserve"> juste et équitable en cas de responsabilité conjointe en vertu de la </w:t>
      </w:r>
      <w:r w:rsidR="00F52467" w:rsidRPr="0059083D">
        <w:rPr>
          <w:lang w:val="fr-CA"/>
        </w:rPr>
        <w:t xml:space="preserve">Loi de </w:t>
      </w:r>
      <w:r w:rsidR="00F52467" w:rsidRPr="00986BEB">
        <w:rPr>
          <w:lang w:val="fr-CA"/>
        </w:rPr>
        <w:t>1933</w:t>
      </w:r>
      <w:r w:rsidR="000B08F2" w:rsidRPr="0059083D">
        <w:rPr>
          <w:lang w:val="fr-CA"/>
        </w:rPr>
        <w:t xml:space="preserve"> </w:t>
      </w:r>
      <w:r w:rsidRPr="0059083D">
        <w:rPr>
          <w:lang w:val="fr-CA"/>
        </w:rPr>
        <w:t xml:space="preserve">et des </w:t>
      </w:r>
      <w:r w:rsidR="0006561D" w:rsidRPr="0059083D">
        <w:rPr>
          <w:lang w:val="fr-CA"/>
        </w:rPr>
        <w:t>Lois sur les valeurs mobilières canadiennes</w:t>
      </w:r>
      <w:r w:rsidR="000B08F2" w:rsidRPr="0059083D">
        <w:rPr>
          <w:lang w:val="fr-CA"/>
        </w:rPr>
        <w:t xml:space="preserve"> </w:t>
      </w:r>
      <w:r w:rsidRPr="0059083D">
        <w:rPr>
          <w:lang w:val="fr-CA"/>
        </w:rPr>
        <w:t>dans l’éventualité où </w:t>
      </w:r>
      <w:r w:rsidR="000B08F2" w:rsidRPr="0059083D">
        <w:rPr>
          <w:lang w:val="fr-CA"/>
        </w:rPr>
        <w:t xml:space="preserve">: </w:t>
      </w:r>
      <w:bookmarkStart w:id="162" w:name="DocXTextRef120"/>
      <w:r w:rsidR="000B08F2" w:rsidRPr="0059083D">
        <w:rPr>
          <w:lang w:val="fr-CA"/>
        </w:rPr>
        <w:t>(</w:t>
      </w:r>
      <w:r w:rsidR="000B08F2" w:rsidRPr="00986BEB">
        <w:rPr>
          <w:lang w:val="fr-CA"/>
        </w:rPr>
        <w:t>i</w:t>
      </w:r>
      <w:r w:rsidR="000B08F2" w:rsidRPr="0059083D">
        <w:rPr>
          <w:lang w:val="fr-CA"/>
        </w:rPr>
        <w:t>)</w:t>
      </w:r>
      <w:bookmarkEnd w:id="162"/>
      <w:r w:rsidRPr="0059083D">
        <w:rPr>
          <w:lang w:val="fr-CA"/>
        </w:rPr>
        <w:t xml:space="preserve"> une partie qui a par ailleurs droit à une indemnisation aux termes des présentes </w:t>
      </w:r>
      <w:r w:rsidR="00FF58D1">
        <w:rPr>
          <w:lang w:val="fr-CA"/>
        </w:rPr>
        <w:t xml:space="preserve">demande une indemnisation </w:t>
      </w:r>
      <w:r w:rsidRPr="0059083D">
        <w:rPr>
          <w:lang w:val="fr-CA"/>
        </w:rPr>
        <w:t xml:space="preserve">conformément au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Pr="0059083D">
        <w:rPr>
          <w:lang w:val="fr-CA"/>
        </w:rPr>
        <w:t xml:space="preserve">, mais il est établi judiciairement </w:t>
      </w:r>
      <w:r w:rsidR="000B08F2" w:rsidRPr="0059083D">
        <w:rPr>
          <w:lang w:val="fr-CA"/>
        </w:rPr>
        <w:t>(</w:t>
      </w:r>
      <w:r w:rsidRPr="0059083D">
        <w:rPr>
          <w:lang w:val="fr-CA"/>
        </w:rPr>
        <w:t>du fait du prononcé d’un jugement définitif ou d’un</w:t>
      </w:r>
      <w:r w:rsidR="009A4650">
        <w:rPr>
          <w:lang w:val="fr-CA"/>
        </w:rPr>
        <w:t>e décision</w:t>
      </w:r>
      <w:r w:rsidRPr="0059083D">
        <w:rPr>
          <w:lang w:val="fr-CA"/>
        </w:rPr>
        <w:t xml:space="preserve"> par un tribunal compétent et de l’expiration du délai d’appel ou du déni du dernier droit d’appel</w:t>
      </w:r>
      <w:r w:rsidR="000B08F2" w:rsidRPr="0059083D">
        <w:rPr>
          <w:lang w:val="fr-CA"/>
        </w:rPr>
        <w:t xml:space="preserve">) </w:t>
      </w:r>
      <w:r w:rsidRPr="0059083D">
        <w:rPr>
          <w:lang w:val="fr-CA"/>
        </w:rPr>
        <w:t xml:space="preserve">que cette indemnisation n’est pas applicable dans ce cas, malgré le fait que le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xml:space="preserve"> </w:t>
      </w:r>
      <w:r w:rsidRPr="0059083D">
        <w:rPr>
          <w:lang w:val="fr-CA"/>
        </w:rPr>
        <w:t>prévoie une indemnisation dans ce cas</w:t>
      </w:r>
      <w:r w:rsidR="000B08F2" w:rsidRPr="0059083D">
        <w:rPr>
          <w:lang w:val="fr-CA"/>
        </w:rPr>
        <w:t xml:space="preserve">, </w:t>
      </w:r>
      <w:r w:rsidRPr="0059083D">
        <w:rPr>
          <w:lang w:val="fr-CA"/>
        </w:rPr>
        <w:t xml:space="preserve">ou </w:t>
      </w:r>
      <w:bookmarkStart w:id="163" w:name="DocXTextRef121"/>
      <w:r w:rsidR="000B08F2" w:rsidRPr="0059083D">
        <w:rPr>
          <w:lang w:val="fr-CA"/>
        </w:rPr>
        <w:t>(</w:t>
      </w:r>
      <w:r w:rsidR="000B08F2" w:rsidRPr="00986BEB">
        <w:rPr>
          <w:lang w:val="fr-CA"/>
        </w:rPr>
        <w:t>ii</w:t>
      </w:r>
      <w:r w:rsidR="000B08F2" w:rsidRPr="0059083D">
        <w:rPr>
          <w:lang w:val="fr-CA"/>
        </w:rPr>
        <w:t>)</w:t>
      </w:r>
      <w:bookmarkEnd w:id="163"/>
      <w:r w:rsidRPr="0059083D">
        <w:rPr>
          <w:lang w:val="fr-CA"/>
        </w:rPr>
        <w:t> un</w:t>
      </w:r>
      <w:r w:rsidR="007B2720">
        <w:rPr>
          <w:lang w:val="fr-CA"/>
        </w:rPr>
        <w:t>e contribution</w:t>
      </w:r>
      <w:r w:rsidRPr="0059083D">
        <w:rPr>
          <w:lang w:val="fr-CA"/>
        </w:rPr>
        <w:t xml:space="preserve"> peut être exigé</w:t>
      </w:r>
      <w:r w:rsidR="007B2720">
        <w:rPr>
          <w:lang w:val="fr-CA"/>
        </w:rPr>
        <w:t>e</w:t>
      </w:r>
      <w:r w:rsidRPr="0059083D">
        <w:rPr>
          <w:lang w:val="fr-CA"/>
        </w:rPr>
        <w:t xml:space="preserve"> 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 xml:space="preserve">et des </w:t>
      </w:r>
      <w:r w:rsidR="0006561D" w:rsidRPr="0059083D">
        <w:rPr>
          <w:lang w:val="fr-CA"/>
        </w:rPr>
        <w:t>Lois sur les valeurs mobilières canadiennes</w:t>
      </w:r>
      <w:r w:rsidR="000B08F2" w:rsidRPr="0059083D">
        <w:rPr>
          <w:lang w:val="fr-CA"/>
        </w:rPr>
        <w:t xml:space="preserve"> </w:t>
      </w:r>
      <w:r w:rsidRPr="0059083D">
        <w:rPr>
          <w:lang w:val="fr-CA"/>
        </w:rPr>
        <w:t xml:space="preserve">de la part d’une partie aux présentes qui a droit à une indemnisation aux termes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xml:space="preserve">, </w:t>
      </w:r>
      <w:r w:rsidRPr="0059083D">
        <w:rPr>
          <w:lang w:val="fr-CA"/>
        </w:rPr>
        <w:t xml:space="preserve">alors, dans l’une ou l’autre de ces éventualités, ces parties </w:t>
      </w:r>
      <w:r w:rsidR="007B2720">
        <w:rPr>
          <w:lang w:val="fr-CA"/>
        </w:rPr>
        <w:t>contribueront à</w:t>
      </w:r>
      <w:r w:rsidR="0002701F">
        <w:rPr>
          <w:lang w:val="fr-CA"/>
        </w:rPr>
        <w:t xml:space="preserve"> l</w:t>
      </w:r>
      <w:r w:rsidR="007E09FD">
        <w:rPr>
          <w:lang w:val="fr-CA"/>
        </w:rPr>
        <w:t xml:space="preserve">’ensemble </w:t>
      </w:r>
      <w:r w:rsidRPr="0059083D">
        <w:rPr>
          <w:lang w:val="fr-CA"/>
        </w:rPr>
        <w:t xml:space="preserve">des pertes, réclamations, dommages, dommages-intérêts, responsabilités ou frais auxquels elles </w:t>
      </w:r>
      <w:r w:rsidR="00435DD4">
        <w:rPr>
          <w:lang w:val="fr-CA"/>
        </w:rPr>
        <w:t>peuvent</w:t>
      </w:r>
      <w:r w:rsidRPr="0059083D">
        <w:rPr>
          <w:lang w:val="fr-CA"/>
        </w:rPr>
        <w:t xml:space="preserve"> être soumises </w:t>
      </w:r>
      <w:r w:rsidR="000B08F2" w:rsidRPr="0059083D">
        <w:rPr>
          <w:lang w:val="fr-CA"/>
        </w:rPr>
        <w:t>(</w:t>
      </w:r>
      <w:r w:rsidRPr="0059083D">
        <w:rPr>
          <w:lang w:val="fr-CA"/>
        </w:rPr>
        <w:t>après l</w:t>
      </w:r>
      <w:r w:rsidR="007B2720">
        <w:rPr>
          <w:lang w:val="fr-CA"/>
        </w:rPr>
        <w:t>a contribution</w:t>
      </w:r>
      <w:r w:rsidRPr="0059083D">
        <w:rPr>
          <w:lang w:val="fr-CA"/>
        </w:rPr>
        <w:t xml:space="preserve"> de tiers</w:t>
      </w:r>
      <w:r w:rsidR="000B08F2" w:rsidRPr="0059083D">
        <w:rPr>
          <w:lang w:val="fr-CA"/>
        </w:rPr>
        <w:t xml:space="preserve">) </w:t>
      </w:r>
      <w:r w:rsidRPr="0059083D">
        <w:rPr>
          <w:lang w:val="fr-CA"/>
        </w:rPr>
        <w:t xml:space="preserve">dans la proportion appropriée compte tenu de la faute relative respective de </w:t>
      </w:r>
      <w:r w:rsidR="00C6565E">
        <w:rPr>
          <w:lang w:val="fr-CA"/>
        </w:rPr>
        <w:t>chaque</w:t>
      </w:r>
      <w:r w:rsidRPr="0059083D">
        <w:rPr>
          <w:lang w:val="fr-CA"/>
        </w:rPr>
        <w:t xml:space="preserve"> partie indemnisatrice et de la partie indemnisée à l’égard des déclarations, omissions ou autres actes qui ont entraîné ces pertes, réclamations, dommages, dommages-intérêts, responsabilités ou frais, et compte tenu de toute autre considération </w:t>
      </w:r>
      <w:r w:rsidR="00C6565E">
        <w:rPr>
          <w:lang w:val="fr-CA"/>
        </w:rPr>
        <w:t>en e</w:t>
      </w:r>
      <w:r w:rsidRPr="0059083D">
        <w:rPr>
          <w:lang w:val="fr-CA"/>
        </w:rPr>
        <w:t>quit</w:t>
      </w:r>
      <w:r w:rsidR="00C6565E">
        <w:rPr>
          <w:lang w:val="fr-CA"/>
        </w:rPr>
        <w:t>y</w:t>
      </w:r>
      <w:r w:rsidRPr="0059083D">
        <w:rPr>
          <w:lang w:val="fr-CA"/>
        </w:rPr>
        <w:t xml:space="preserve"> pertinente</w:t>
      </w:r>
      <w:r w:rsidR="000B08F2" w:rsidRPr="0059083D">
        <w:rPr>
          <w:lang w:val="fr-CA"/>
        </w:rPr>
        <w:t xml:space="preserve">. </w:t>
      </w:r>
      <w:r w:rsidRPr="0059083D">
        <w:rPr>
          <w:lang w:val="fr-CA"/>
        </w:rPr>
        <w:t>La faute relative de la partie indemnisatrice et de la partie indemnisé</w:t>
      </w:r>
      <w:r w:rsidR="00BB2945">
        <w:rPr>
          <w:lang w:val="fr-CA"/>
        </w:rPr>
        <w:t>e</w:t>
      </w:r>
      <w:r w:rsidRPr="0059083D">
        <w:rPr>
          <w:lang w:val="fr-CA"/>
        </w:rPr>
        <w:t xml:space="preserve"> dépend, entre autres, de la question de savoir si </w:t>
      </w:r>
      <w:r w:rsidRPr="009D4254">
        <w:rPr>
          <w:lang w:val="fr-CA"/>
        </w:rPr>
        <w:t>l’information fausse ou prétendument fausse concernant un fait important</w:t>
      </w:r>
      <w:r w:rsidRPr="0059083D">
        <w:rPr>
          <w:lang w:val="fr-CA"/>
        </w:rPr>
        <w:t xml:space="preserve">, ou l’omission ou la </w:t>
      </w:r>
      <w:r w:rsidRPr="009D4254">
        <w:rPr>
          <w:lang w:val="fr-CA"/>
        </w:rPr>
        <w:t>prétendue omission de déclarer un fait important</w:t>
      </w:r>
      <w:r w:rsidR="000B08F2" w:rsidRPr="0059083D">
        <w:rPr>
          <w:lang w:val="fr-CA"/>
        </w:rPr>
        <w:t xml:space="preserve">, </w:t>
      </w:r>
      <w:r w:rsidRPr="0059083D">
        <w:rPr>
          <w:lang w:val="fr-CA"/>
        </w:rPr>
        <w:t xml:space="preserve">se rapporte à des renseignements fournis par la partie indemnisatrice ou par la partie indemnisée, </w:t>
      </w:r>
      <w:r w:rsidR="00435DD4">
        <w:rPr>
          <w:lang w:val="fr-CA"/>
        </w:rPr>
        <w:t xml:space="preserve">ainsi que </w:t>
      </w:r>
      <w:r w:rsidRPr="0059083D">
        <w:rPr>
          <w:lang w:val="fr-CA"/>
        </w:rPr>
        <w:t>de l’intention, des connaissances et de l’accès à l’information relatifs des parties et de la possibilité qu’elles ont eu de corriger ou de prévenir cette information fausse ou cette omission</w:t>
      </w:r>
      <w:r w:rsidR="000B08F2" w:rsidRPr="0059083D">
        <w:rPr>
          <w:lang w:val="fr-CA"/>
        </w:rPr>
        <w:t xml:space="preserve">; </w:t>
      </w:r>
      <w:r w:rsidRPr="0059083D">
        <w:rPr>
          <w:u w:val="single"/>
          <w:lang w:val="fr-CA"/>
        </w:rPr>
        <w:t>il est entendu</w:t>
      </w:r>
      <w:r w:rsidR="000B08F2" w:rsidRPr="0059083D">
        <w:rPr>
          <w:lang w:val="fr-CA"/>
        </w:rPr>
        <w:t xml:space="preserve">, </w:t>
      </w:r>
      <w:r w:rsidRPr="0059083D">
        <w:rPr>
          <w:u w:val="single"/>
          <w:lang w:val="fr-CA"/>
        </w:rPr>
        <w:t>toutefois</w:t>
      </w:r>
      <w:r w:rsidR="000B08F2" w:rsidRPr="0059083D">
        <w:rPr>
          <w:lang w:val="fr-CA"/>
        </w:rPr>
        <w:t xml:space="preserve">, </w:t>
      </w:r>
      <w:r w:rsidRPr="0059083D">
        <w:rPr>
          <w:lang w:val="fr-CA"/>
        </w:rPr>
        <w:t>que dans un tel cas</w:t>
      </w:r>
      <w:bookmarkStart w:id="164" w:name="DocXTextRef122"/>
      <w:r w:rsidRPr="0059083D">
        <w:rPr>
          <w:lang w:val="fr-CA"/>
        </w:rPr>
        <w:t xml:space="preserve"> </w:t>
      </w:r>
      <w:r w:rsidR="000B08F2" w:rsidRPr="0059083D">
        <w:rPr>
          <w:lang w:val="fr-CA"/>
        </w:rPr>
        <w:t>(</w:t>
      </w:r>
      <w:r w:rsidR="000B08F2" w:rsidRPr="00986BEB">
        <w:rPr>
          <w:lang w:val="fr-CA"/>
        </w:rPr>
        <w:t>x</w:t>
      </w:r>
      <w:r w:rsidR="000B08F2" w:rsidRPr="0059083D">
        <w:rPr>
          <w:lang w:val="fr-CA"/>
        </w:rPr>
        <w:t>)</w:t>
      </w:r>
      <w:bookmarkEnd w:id="164"/>
      <w:r w:rsidRPr="0059083D">
        <w:rPr>
          <w:lang w:val="fr-CA"/>
        </w:rPr>
        <w:t xml:space="preserve"> aucun </w:t>
      </w:r>
      <w:r w:rsidR="0006561D" w:rsidRPr="0059083D">
        <w:rPr>
          <w:lang w:val="fr-CA"/>
        </w:rPr>
        <w:t>Porteur</w:t>
      </w:r>
      <w:r w:rsidR="000B08F2" w:rsidRPr="0059083D">
        <w:rPr>
          <w:lang w:val="fr-CA"/>
        </w:rPr>
        <w:t xml:space="preserve"> </w:t>
      </w:r>
      <w:r w:rsidRPr="0059083D">
        <w:rPr>
          <w:lang w:val="fr-CA"/>
        </w:rPr>
        <w:t>ne sera tenu de verser un</w:t>
      </w:r>
      <w:r w:rsidR="007B2720">
        <w:rPr>
          <w:lang w:val="fr-CA"/>
        </w:rPr>
        <w:t>e contribution</w:t>
      </w:r>
      <w:r w:rsidRPr="0059083D">
        <w:rPr>
          <w:lang w:val="fr-CA"/>
        </w:rPr>
        <w:t xml:space="preserve"> d’un montant supérieur au prix d’offre de tous les </w:t>
      </w:r>
      <w:r w:rsidR="0006561D" w:rsidRPr="0059083D">
        <w:rPr>
          <w:lang w:val="fr-CA"/>
        </w:rPr>
        <w:t>Titres à inscrire</w:t>
      </w:r>
      <w:r w:rsidR="000B08F2" w:rsidRPr="0059083D">
        <w:rPr>
          <w:lang w:val="fr-CA"/>
        </w:rPr>
        <w:t xml:space="preserve"> </w:t>
      </w:r>
      <w:r w:rsidRPr="0059083D">
        <w:rPr>
          <w:lang w:val="fr-CA"/>
        </w:rPr>
        <w:t xml:space="preserve">offerts et vendus par ce </w:t>
      </w:r>
      <w:r w:rsidR="0006561D" w:rsidRPr="0059083D">
        <w:rPr>
          <w:lang w:val="fr-CA"/>
        </w:rPr>
        <w:t>Porteur</w:t>
      </w:r>
      <w:r w:rsidR="000B08F2" w:rsidRPr="0059083D">
        <w:rPr>
          <w:lang w:val="fr-CA"/>
        </w:rPr>
        <w:t xml:space="preserve"> </w:t>
      </w:r>
      <w:r w:rsidRPr="0059083D">
        <w:rPr>
          <w:lang w:val="fr-CA"/>
        </w:rPr>
        <w:t xml:space="preserve">aux termes de la </w:t>
      </w:r>
      <w:r w:rsidR="002A0F83" w:rsidRPr="0059083D">
        <w:rPr>
          <w:lang w:val="fr-CA"/>
        </w:rPr>
        <w:t>déclaration d’inscription</w:t>
      </w:r>
      <w:r w:rsidR="000B08F2" w:rsidRPr="0059083D">
        <w:rPr>
          <w:lang w:val="fr-CA"/>
        </w:rPr>
        <w:t xml:space="preserve">, </w:t>
      </w:r>
      <w:r w:rsidRPr="0059083D">
        <w:rPr>
          <w:lang w:val="fr-CA"/>
        </w:rPr>
        <w:t xml:space="preserve">et </w:t>
      </w:r>
      <w:bookmarkStart w:id="165" w:name="DocXTextRef123"/>
      <w:r w:rsidR="000B08F2" w:rsidRPr="0059083D">
        <w:rPr>
          <w:lang w:val="fr-CA"/>
        </w:rPr>
        <w:t>(</w:t>
      </w:r>
      <w:r w:rsidR="000B08F2" w:rsidRPr="00986BEB">
        <w:rPr>
          <w:lang w:val="fr-CA"/>
        </w:rPr>
        <w:t>y</w:t>
      </w:r>
      <w:r w:rsidR="000B08F2" w:rsidRPr="0059083D">
        <w:rPr>
          <w:lang w:val="fr-CA"/>
        </w:rPr>
        <w:t>)</w:t>
      </w:r>
      <w:bookmarkEnd w:id="165"/>
      <w:r w:rsidRPr="0059083D">
        <w:rPr>
          <w:lang w:val="fr-CA"/>
        </w:rPr>
        <w:t xml:space="preserve"> aucune Personne coupable de déclaration frauduleuse (au sens </w:t>
      </w:r>
      <w:r w:rsidR="00874C2A">
        <w:rPr>
          <w:lang w:val="fr-CA"/>
        </w:rPr>
        <w:t>donné</w:t>
      </w:r>
      <w:r w:rsidRPr="0059083D">
        <w:rPr>
          <w:lang w:val="fr-CA"/>
        </w:rPr>
        <w:t xml:space="preserve"> </w:t>
      </w:r>
      <w:r w:rsidR="00C6565E">
        <w:rPr>
          <w:lang w:val="fr-CA"/>
        </w:rPr>
        <w:t>à</w:t>
      </w:r>
      <w:r w:rsidRPr="0059083D">
        <w:rPr>
          <w:lang w:val="fr-CA"/>
        </w:rPr>
        <w:t xml:space="preserve"> </w:t>
      </w:r>
      <w:r w:rsidR="000B08F2" w:rsidRPr="0059083D">
        <w:rPr>
          <w:i/>
          <w:iCs/>
          <w:lang w:val="fr-CA"/>
        </w:rPr>
        <w:t>fraudulent misrepresentation</w:t>
      </w:r>
      <w:r w:rsidR="000B08F2" w:rsidRPr="0059083D">
        <w:rPr>
          <w:lang w:val="fr-CA"/>
        </w:rPr>
        <w:t xml:space="preserve"> </w:t>
      </w:r>
      <w:r w:rsidRPr="0059083D">
        <w:rPr>
          <w:lang w:val="fr-CA"/>
        </w:rPr>
        <w:t>au paragraphe</w:t>
      </w:r>
      <w:bookmarkStart w:id="166" w:name="DocXTextRef119"/>
      <w:r w:rsidRPr="0059083D">
        <w:rPr>
          <w:lang w:val="fr-CA"/>
        </w:rPr>
        <w:t> </w:t>
      </w:r>
      <w:r w:rsidR="000B08F2" w:rsidRPr="00986BEB">
        <w:rPr>
          <w:lang w:val="fr-CA"/>
        </w:rPr>
        <w:t>11</w:t>
      </w:r>
      <w:r w:rsidR="000B08F2" w:rsidRPr="0059083D">
        <w:rPr>
          <w:lang w:val="fr-CA"/>
        </w:rPr>
        <w:t>(f)</w:t>
      </w:r>
      <w:bookmarkEnd w:id="166"/>
      <w:r w:rsidR="000B08F2" w:rsidRPr="0059083D">
        <w:rPr>
          <w:lang w:val="fr-CA"/>
        </w:rPr>
        <w:t xml:space="preserve"> </w:t>
      </w:r>
      <w:r w:rsidRPr="0059083D">
        <w:rPr>
          <w:lang w:val="fr-CA"/>
        </w:rPr>
        <w:t xml:space="preserve">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n’aura le droit de recevoir un</w:t>
      </w:r>
      <w:r w:rsidR="007B2720">
        <w:rPr>
          <w:lang w:val="fr-CA"/>
        </w:rPr>
        <w:t>e contribution</w:t>
      </w:r>
      <w:r w:rsidRPr="0059083D">
        <w:rPr>
          <w:lang w:val="fr-CA"/>
        </w:rPr>
        <w:t xml:space="preserve"> d’une Personne qui n’était pas coupable de cette déclaration frauduleuse</w:t>
      </w:r>
      <w:r w:rsidR="000B08F2" w:rsidRPr="0059083D">
        <w:rPr>
          <w:lang w:val="fr-CA"/>
        </w:rPr>
        <w:t xml:space="preserve">; </w:t>
      </w:r>
      <w:r w:rsidRPr="0059083D">
        <w:rPr>
          <w:lang w:val="fr-CA"/>
        </w:rPr>
        <w:t xml:space="preserve">et </w:t>
      </w:r>
      <w:r w:rsidRPr="0059083D">
        <w:rPr>
          <w:u w:val="single"/>
          <w:lang w:val="fr-CA"/>
        </w:rPr>
        <w:t>il est entendu</w:t>
      </w:r>
      <w:r w:rsidRPr="0059083D">
        <w:rPr>
          <w:lang w:val="fr-CA"/>
        </w:rPr>
        <w:t>,</w:t>
      </w:r>
      <w:r w:rsidR="000B08F2" w:rsidRPr="0059083D">
        <w:rPr>
          <w:lang w:val="fr-CA"/>
        </w:rPr>
        <w:t xml:space="preserve"> </w:t>
      </w:r>
      <w:r w:rsidRPr="0059083D">
        <w:rPr>
          <w:u w:val="single"/>
          <w:lang w:val="fr-CA"/>
        </w:rPr>
        <w:t>en outre</w:t>
      </w:r>
      <w:r w:rsidRPr="0059083D">
        <w:rPr>
          <w:lang w:val="fr-CA"/>
        </w:rPr>
        <w:t>,</w:t>
      </w:r>
      <w:r w:rsidR="000B08F2" w:rsidRPr="0059083D">
        <w:rPr>
          <w:lang w:val="fr-CA"/>
        </w:rPr>
        <w:t xml:space="preserve"> </w:t>
      </w:r>
      <w:r w:rsidRPr="0059083D">
        <w:rPr>
          <w:lang w:val="fr-CA"/>
        </w:rPr>
        <w:t xml:space="preserve">qu’en aucun cas la responsabilité d’un </w:t>
      </w:r>
      <w:r w:rsidR="0006561D" w:rsidRPr="0059083D">
        <w:rPr>
          <w:lang w:val="fr-CA"/>
        </w:rPr>
        <w:t>Porteur</w:t>
      </w:r>
      <w:r w:rsidRPr="0059083D">
        <w:rPr>
          <w:lang w:val="fr-CA"/>
        </w:rPr>
        <w:t xml:space="preserve"> aux termes du présent </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_Ref448380577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2.8d)</w:t>
      </w:r>
      <w:r w:rsidR="000B08F2" w:rsidRPr="00986BEB">
        <w:rPr>
          <w:u w:val="single"/>
          <w:lang w:val="fr-CA"/>
        </w:rPr>
        <w:fldChar w:fldCharType="end"/>
      </w:r>
      <w:r w:rsidR="000B08F2" w:rsidRPr="0059083D">
        <w:rPr>
          <w:lang w:val="fr-CA"/>
        </w:rPr>
        <w:t xml:space="preserve">, </w:t>
      </w:r>
      <w:r w:rsidRPr="0059083D">
        <w:rPr>
          <w:lang w:val="fr-CA"/>
        </w:rPr>
        <w:t xml:space="preserve">combinée aux sommes payées ou payables par ce </w:t>
      </w:r>
      <w:r w:rsidR="0006561D" w:rsidRPr="0059083D">
        <w:rPr>
          <w:lang w:val="fr-CA"/>
        </w:rPr>
        <w:t>Porteur</w:t>
      </w:r>
      <w:r w:rsidR="000B08F2" w:rsidRPr="0059083D">
        <w:rPr>
          <w:lang w:val="fr-CA"/>
        </w:rPr>
        <w:t xml:space="preserve"> </w:t>
      </w:r>
      <w:r w:rsidR="007E09FD">
        <w:rPr>
          <w:lang w:val="fr-CA"/>
        </w:rPr>
        <w:t xml:space="preserve">conformément à </w:t>
      </w:r>
      <w:r w:rsidRPr="0059083D">
        <w:rPr>
          <w:lang w:val="fr-CA"/>
        </w:rPr>
        <w:t>l’</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_Ref448380575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2.8b)</w:t>
      </w:r>
      <w:r w:rsidR="000B08F2" w:rsidRPr="00986BEB">
        <w:rPr>
          <w:u w:val="single"/>
          <w:lang w:val="fr-CA"/>
        </w:rPr>
        <w:fldChar w:fldCharType="end"/>
      </w:r>
      <w:r w:rsidR="000B08F2" w:rsidRPr="0059083D">
        <w:rPr>
          <w:lang w:val="fr-CA"/>
        </w:rPr>
        <w:t xml:space="preserve">, </w:t>
      </w:r>
      <w:r w:rsidRPr="0059083D">
        <w:rPr>
          <w:lang w:val="fr-CA"/>
        </w:rPr>
        <w:t xml:space="preserve">ne dépasse le produit qu’il tire du placement </w:t>
      </w:r>
      <w:r w:rsidR="000B08F2" w:rsidRPr="0059083D">
        <w:rPr>
          <w:lang w:val="fr-CA"/>
        </w:rPr>
        <w:t>(</w:t>
      </w:r>
      <w:r w:rsidRPr="0059083D">
        <w:rPr>
          <w:lang w:val="fr-CA"/>
        </w:rPr>
        <w:t xml:space="preserve">déduction faite des </w:t>
      </w:r>
      <w:r w:rsidR="002A0F83" w:rsidRPr="0059083D">
        <w:rPr>
          <w:lang w:val="fr-CA"/>
        </w:rPr>
        <w:t>Frais de vente</w:t>
      </w:r>
      <w:r w:rsidR="000B08F2" w:rsidRPr="0059083D">
        <w:rPr>
          <w:lang w:val="fr-CA"/>
        </w:rPr>
        <w:t xml:space="preserve"> </w:t>
      </w:r>
      <w:r w:rsidRPr="0059083D">
        <w:rPr>
          <w:lang w:val="fr-CA"/>
        </w:rPr>
        <w:t xml:space="preserve">payés par ce </w:t>
      </w:r>
      <w:r w:rsidR="0006561D" w:rsidRPr="0059083D">
        <w:rPr>
          <w:lang w:val="fr-CA"/>
        </w:rPr>
        <w:t>Porteur</w:t>
      </w:r>
      <w:r w:rsidR="000B08F2" w:rsidRPr="0059083D">
        <w:rPr>
          <w:lang w:val="fr-CA"/>
        </w:rPr>
        <w:t xml:space="preserve">), </w:t>
      </w:r>
      <w:r w:rsidRPr="0059083D">
        <w:rPr>
          <w:lang w:val="fr-CA"/>
        </w:rPr>
        <w:t xml:space="preserve">sauf en cas d’inconduite délibérée ou de fraude de ce </w:t>
      </w:r>
      <w:r w:rsidR="0006561D" w:rsidRPr="0059083D">
        <w:rPr>
          <w:lang w:val="fr-CA"/>
        </w:rPr>
        <w:t>Porteur</w:t>
      </w:r>
      <w:r w:rsidR="000B08F2" w:rsidRPr="0059083D">
        <w:rPr>
          <w:lang w:val="fr-CA"/>
        </w:rPr>
        <w:t>.</w:t>
      </w:r>
      <w:bookmarkEnd w:id="161"/>
    </w:p>
    <w:p w14:paraId="004F6586" w14:textId="267130A4" w:rsidR="00037C7E" w:rsidRPr="00986BEB" w:rsidRDefault="003174C2">
      <w:pPr>
        <w:pStyle w:val="StandardL3"/>
        <w:rPr>
          <w:lang w:val="fr-CA"/>
        </w:rPr>
      </w:pPr>
      <w:bookmarkStart w:id="167" w:name="_Ref448380578"/>
      <w:r w:rsidRPr="0059083D">
        <w:rPr>
          <w:szCs w:val="24"/>
          <w:lang w:val="fr-CA"/>
        </w:rPr>
        <w:t>[</w:t>
      </w:r>
      <w:r w:rsidR="009677AC" w:rsidRPr="0059083D">
        <w:rPr>
          <w:szCs w:val="24"/>
          <w:lang w:val="fr-CA"/>
        </w:rPr>
        <w:t>Malgré ce qui précède</w:t>
      </w:r>
      <w:r w:rsidRPr="0059083D">
        <w:rPr>
          <w:szCs w:val="24"/>
          <w:lang w:val="fr-CA"/>
        </w:rPr>
        <w:t xml:space="preserve">, </w:t>
      </w:r>
      <w:r w:rsidR="009677AC" w:rsidRPr="0059083D">
        <w:rPr>
          <w:szCs w:val="24"/>
          <w:lang w:val="fr-CA"/>
        </w:rPr>
        <w:t>dans la mesure où les dispositions en matière d’indemnisation et d</w:t>
      </w:r>
      <w:r w:rsidR="007B2720">
        <w:rPr>
          <w:szCs w:val="24"/>
          <w:lang w:val="fr-CA"/>
        </w:rPr>
        <w:t>e contribution</w:t>
      </w:r>
      <w:r w:rsidR="009677AC" w:rsidRPr="0059083D">
        <w:rPr>
          <w:szCs w:val="24"/>
          <w:lang w:val="fr-CA"/>
        </w:rPr>
        <w:t xml:space="preserve"> prévues dans la convention de prise ferme conclue </w:t>
      </w:r>
      <w:r w:rsidR="00F57900" w:rsidRPr="0059083D">
        <w:rPr>
          <w:szCs w:val="24"/>
          <w:lang w:val="fr-CA"/>
        </w:rPr>
        <w:t>dans le cadre de l’appel public à l’épargne par voie de prise ferme sont incompatibles avec les dispositions qui précèdent, les dispositions de la convention de prise ferme</w:t>
      </w:r>
      <w:r w:rsidRPr="0059083D">
        <w:rPr>
          <w:szCs w:val="24"/>
          <w:lang w:val="fr-CA"/>
        </w:rPr>
        <w:t xml:space="preserve"> </w:t>
      </w:r>
      <w:r w:rsidR="00F57900" w:rsidRPr="0059083D">
        <w:rPr>
          <w:szCs w:val="24"/>
          <w:lang w:val="fr-CA"/>
        </w:rPr>
        <w:t>ont préséance</w:t>
      </w:r>
      <w:r w:rsidRPr="0059083D">
        <w:rPr>
          <w:szCs w:val="24"/>
          <w:lang w:val="fr-CA"/>
        </w:rPr>
        <w:t xml:space="preserve">; </w:t>
      </w:r>
      <w:r w:rsidR="00F57900" w:rsidRPr="0059083D">
        <w:rPr>
          <w:szCs w:val="24"/>
          <w:u w:val="single"/>
          <w:lang w:val="fr-CA"/>
        </w:rPr>
        <w:t>il est entendu</w:t>
      </w:r>
      <w:r w:rsidRPr="0059083D">
        <w:rPr>
          <w:szCs w:val="24"/>
          <w:lang w:val="fr-CA"/>
        </w:rPr>
        <w:t>,</w:t>
      </w:r>
      <w:r w:rsidRPr="0059083D">
        <w:rPr>
          <w:szCs w:val="24"/>
          <w:u w:val="words"/>
          <w:lang w:val="fr-CA"/>
        </w:rPr>
        <w:t xml:space="preserve"> </w:t>
      </w:r>
      <w:r w:rsidR="00F57900" w:rsidRPr="0059083D">
        <w:rPr>
          <w:szCs w:val="24"/>
          <w:u w:val="words"/>
          <w:lang w:val="fr-CA"/>
        </w:rPr>
        <w:t>toutefois</w:t>
      </w:r>
      <w:r w:rsidR="000B08F2" w:rsidRPr="0059083D">
        <w:rPr>
          <w:lang w:val="fr-CA"/>
        </w:rPr>
        <w:t xml:space="preserve">, </w:t>
      </w:r>
      <w:r w:rsidR="00F57900" w:rsidRPr="0059083D">
        <w:rPr>
          <w:lang w:val="fr-CA"/>
        </w:rPr>
        <w:t xml:space="preserve">que toute question expressément prévue ou </w:t>
      </w:r>
      <w:r w:rsidR="00454899" w:rsidRPr="0059083D">
        <w:rPr>
          <w:lang w:val="fr-CA"/>
        </w:rPr>
        <w:t xml:space="preserve">abordée dans les dispositions qui précèdent qui n’est pas expressément prévue ou abordée dans </w:t>
      </w:r>
      <w:r w:rsidR="00F57900" w:rsidRPr="0059083D">
        <w:rPr>
          <w:lang w:val="fr-CA"/>
        </w:rPr>
        <w:t>la convention de prise ferme</w:t>
      </w:r>
      <w:r w:rsidR="000B08F2" w:rsidRPr="0059083D">
        <w:rPr>
          <w:lang w:val="fr-CA"/>
        </w:rPr>
        <w:t xml:space="preserve"> </w:t>
      </w:r>
      <w:r w:rsidR="00454899" w:rsidRPr="0059083D">
        <w:rPr>
          <w:lang w:val="fr-CA"/>
        </w:rPr>
        <w:t>est régie par les dispositions qui précèdent</w:t>
      </w:r>
      <w:r w:rsidR="000B08F2" w:rsidRPr="0059083D">
        <w:rPr>
          <w:lang w:val="fr-CA"/>
        </w:rPr>
        <w:t>.]</w:t>
      </w:r>
      <w:bookmarkEnd w:id="167"/>
    </w:p>
    <w:p w14:paraId="00F66993" w14:textId="23C5E319" w:rsidR="00037C7E" w:rsidRPr="00986BEB" w:rsidRDefault="00454899">
      <w:pPr>
        <w:pStyle w:val="StandardL3"/>
        <w:rPr>
          <w:lang w:val="fr-CA"/>
        </w:rPr>
      </w:pPr>
      <w:bookmarkStart w:id="168" w:name="_Ref448380579"/>
      <w:r w:rsidRPr="0059083D">
        <w:rPr>
          <w:lang w:val="fr-CA"/>
        </w:rPr>
        <w:t xml:space="preserve">À moins qu’elles ne soient par ailleurs remplacées par une </w:t>
      </w:r>
      <w:r w:rsidR="00F57900" w:rsidRPr="0059083D">
        <w:rPr>
          <w:lang w:val="fr-CA"/>
        </w:rPr>
        <w:t>convention de prise ferme</w:t>
      </w:r>
      <w:r w:rsidR="000B08F2" w:rsidRPr="0059083D">
        <w:rPr>
          <w:lang w:val="fr-CA"/>
        </w:rPr>
        <w:t xml:space="preserve"> </w:t>
      </w:r>
      <w:r w:rsidRPr="0059083D">
        <w:rPr>
          <w:lang w:val="fr-CA"/>
        </w:rPr>
        <w:t>conclue dans le cadre de l’appel public à l’épargne par voie de prise ferme</w:t>
      </w:r>
      <w:r w:rsidR="000B08F2" w:rsidRPr="0059083D">
        <w:rPr>
          <w:lang w:val="fr-CA"/>
        </w:rPr>
        <w:t xml:space="preserve">, </w:t>
      </w:r>
      <w:r w:rsidRPr="0059083D">
        <w:rPr>
          <w:lang w:val="fr-CA"/>
        </w:rPr>
        <w:t xml:space="preserve">les </w:t>
      </w:r>
      <w:r w:rsidR="000B08F2" w:rsidRPr="0059083D">
        <w:rPr>
          <w:lang w:val="fr-CA"/>
        </w:rPr>
        <w:t xml:space="preserve">obligations de la Société </w:t>
      </w:r>
      <w:r w:rsidRPr="0059083D">
        <w:rPr>
          <w:lang w:val="fr-CA"/>
        </w:rPr>
        <w:t xml:space="preserve">et des </w:t>
      </w:r>
      <w:r w:rsidR="00E043C9" w:rsidRPr="0059083D">
        <w:rPr>
          <w:lang w:val="fr-CA"/>
        </w:rPr>
        <w:t>Porteurs</w:t>
      </w:r>
      <w:r w:rsidR="000B08F2" w:rsidRPr="0059083D">
        <w:rPr>
          <w:lang w:val="fr-CA"/>
        </w:rPr>
        <w:t xml:space="preserve"> </w:t>
      </w:r>
      <w:r w:rsidR="002A08C8" w:rsidRPr="0059083D">
        <w:rPr>
          <w:lang w:val="fr-CA"/>
        </w:rPr>
        <w:t xml:space="preserve">aux termes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_Ref448380573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2.8</w:t>
      </w:r>
      <w:r w:rsidR="000B08F2" w:rsidRPr="00986BEB">
        <w:rPr>
          <w:u w:val="single"/>
          <w:lang w:val="fr-CA"/>
        </w:rPr>
        <w:fldChar w:fldCharType="end"/>
      </w:r>
      <w:r w:rsidR="000B08F2" w:rsidRPr="0059083D">
        <w:rPr>
          <w:lang w:val="fr-CA"/>
        </w:rPr>
        <w:t xml:space="preserve"> </w:t>
      </w:r>
      <w:r w:rsidR="002A08C8" w:rsidRPr="0059083D">
        <w:rPr>
          <w:lang w:val="fr-CA"/>
        </w:rPr>
        <w:t xml:space="preserve">demeurent en vigueur après la réalisation de tout placement de </w:t>
      </w:r>
      <w:r w:rsidR="0006561D" w:rsidRPr="0059083D">
        <w:rPr>
          <w:lang w:val="fr-CA"/>
        </w:rPr>
        <w:t>Titres à inscrire</w:t>
      </w:r>
      <w:r w:rsidR="000B08F2" w:rsidRPr="0059083D">
        <w:rPr>
          <w:lang w:val="fr-CA"/>
        </w:rPr>
        <w:t xml:space="preserve"> </w:t>
      </w:r>
      <w:r w:rsidR="002A08C8" w:rsidRPr="0059083D">
        <w:rPr>
          <w:lang w:val="fr-CA"/>
        </w:rPr>
        <w:t xml:space="preserve">faisant l’objet d’une inscription aux termes du présent </w:t>
      </w:r>
      <w:r w:rsidR="0006561D" w:rsidRPr="0059083D">
        <w:rPr>
          <w:u w:val="single"/>
          <w:lang w:val="fr-CA"/>
        </w:rPr>
        <w:t>article </w:t>
      </w:r>
      <w:r w:rsidR="000B08F2" w:rsidRPr="00986BEB">
        <w:rPr>
          <w:u w:val="single"/>
          <w:lang w:val="fr-CA"/>
        </w:rPr>
        <w:fldChar w:fldCharType="begin"/>
      </w:r>
      <w:r w:rsidR="000B08F2" w:rsidRPr="00986BEB">
        <w:rPr>
          <w:u w:val="single"/>
          <w:lang w:val="fr-CA"/>
        </w:rPr>
        <w:instrText xml:space="preserve"> REF _Ref448381679 \w \h </w:instrText>
      </w:r>
      <w:r w:rsidR="000B08F2" w:rsidRPr="00986BEB">
        <w:rPr>
          <w:u w:val="single"/>
          <w:lang w:val="fr-CA"/>
        </w:rPr>
      </w:r>
      <w:r w:rsidR="000B08F2" w:rsidRPr="00986BEB">
        <w:rPr>
          <w:u w:val="single"/>
          <w:lang w:val="fr-CA"/>
        </w:rPr>
        <w:fldChar w:fldCharType="separate"/>
      </w:r>
      <w:r w:rsidR="00AE1D96">
        <w:rPr>
          <w:u w:val="single"/>
          <w:lang w:val="fr-CA"/>
        </w:rPr>
        <w:t>2</w:t>
      </w:r>
      <w:r w:rsidR="000B08F2" w:rsidRPr="00986BEB">
        <w:rPr>
          <w:u w:val="single"/>
          <w:lang w:val="fr-CA"/>
        </w:rPr>
        <w:fldChar w:fldCharType="end"/>
      </w:r>
      <w:r w:rsidR="000B08F2" w:rsidRPr="0059083D">
        <w:rPr>
          <w:lang w:val="fr-CA"/>
        </w:rPr>
        <w:t xml:space="preserve">, </w:t>
      </w:r>
      <w:r w:rsidR="00052C68">
        <w:rPr>
          <w:lang w:val="fr-CA"/>
        </w:rPr>
        <w:t>et demeurent en vigueur malgré</w:t>
      </w:r>
      <w:r w:rsidR="002A08C8" w:rsidRPr="0059083D">
        <w:rPr>
          <w:lang w:val="fr-CA"/>
        </w:rPr>
        <w:t xml:space="preserve"> la résiliation de </w:t>
      </w:r>
      <w:r w:rsidR="000B08F2" w:rsidRPr="0059083D">
        <w:rPr>
          <w:lang w:val="fr-CA"/>
        </w:rPr>
        <w:t xml:space="preserve">la présente Convention </w:t>
      </w:r>
      <w:r w:rsidR="002A08C8" w:rsidRPr="0059083D">
        <w:rPr>
          <w:lang w:val="fr-CA"/>
        </w:rPr>
        <w:t>ou de toute disposition de celle-ci</w:t>
      </w:r>
      <w:r w:rsidR="000B08F2" w:rsidRPr="0059083D">
        <w:rPr>
          <w:lang w:val="fr-CA"/>
        </w:rPr>
        <w:t>.</w:t>
      </w:r>
      <w:bookmarkEnd w:id="168"/>
    </w:p>
    <w:p w14:paraId="083CE01C" w14:textId="42813509" w:rsidR="00037C7E" w:rsidRPr="00986BEB" w:rsidRDefault="002A08C8">
      <w:pPr>
        <w:pStyle w:val="StandardL2"/>
        <w:rPr>
          <w:lang w:val="fr-CA"/>
        </w:rPr>
      </w:pPr>
      <w:bookmarkStart w:id="169" w:name="_Ref448380580"/>
      <w:bookmarkStart w:id="170" w:name="_Toc132874725"/>
      <w:r w:rsidRPr="009D4254">
        <w:rPr>
          <w:lang w:val="fr-CA"/>
        </w:rPr>
        <w:t>Revente de titres</w:t>
      </w:r>
      <w:r w:rsidR="000B08F2" w:rsidRPr="009D4254">
        <w:rPr>
          <w:snapToGrid w:val="0"/>
          <w:lang w:val="fr-CA"/>
        </w:rPr>
        <w:t>.</w:t>
      </w:r>
      <w:bookmarkEnd w:id="169"/>
      <w:bookmarkEnd w:id="170"/>
    </w:p>
    <w:p w14:paraId="226E3A66" w14:textId="46907D69" w:rsidR="00037C7E" w:rsidRPr="00986BEB" w:rsidRDefault="00A45E89">
      <w:pPr>
        <w:pStyle w:val="StandardL3"/>
        <w:rPr>
          <w:lang w:val="fr-CA"/>
        </w:rPr>
      </w:pPr>
      <w:bookmarkStart w:id="171" w:name="_Ref448380581"/>
      <w:r w:rsidRPr="0059083D">
        <w:rPr>
          <w:lang w:val="fr-CA"/>
        </w:rPr>
        <w:t xml:space="preserve">Afin de permettre aux </w:t>
      </w:r>
      <w:r w:rsidR="00E043C9" w:rsidRPr="0059083D">
        <w:rPr>
          <w:lang w:val="fr-CA"/>
        </w:rPr>
        <w:t>Porteurs</w:t>
      </w:r>
      <w:r w:rsidR="000B08F2" w:rsidRPr="0059083D">
        <w:rPr>
          <w:lang w:val="fr-CA"/>
        </w:rPr>
        <w:t xml:space="preserve"> </w:t>
      </w:r>
      <w:r w:rsidRPr="0059083D">
        <w:rPr>
          <w:lang w:val="fr-CA"/>
        </w:rPr>
        <w:t>de se prévaloir des dispositions de la Règle </w:t>
      </w:r>
      <w:r w:rsidRPr="00986BEB">
        <w:rPr>
          <w:lang w:val="fr-CA"/>
        </w:rPr>
        <w:t>144</w:t>
      </w:r>
      <w:r w:rsidRPr="0059083D">
        <w:rPr>
          <w:lang w:val="fr-CA"/>
        </w:rPr>
        <w:t xml:space="preserve"> de la SEC</w:t>
      </w:r>
      <w:r w:rsidR="000B08F2" w:rsidRPr="0059083D">
        <w:rPr>
          <w:lang w:val="fr-CA"/>
        </w:rPr>
        <w:t xml:space="preserve"> </w:t>
      </w:r>
      <w:r w:rsidRPr="0059083D">
        <w:rPr>
          <w:lang w:val="fr-CA"/>
        </w:rPr>
        <w:t>et de toute autre règle ou de tout autre règlement de la SEC l</w:t>
      </w:r>
      <w:r w:rsidR="006531C5">
        <w:rPr>
          <w:lang w:val="fr-CA"/>
        </w:rPr>
        <w:t xml:space="preserve">es autorisant </w:t>
      </w:r>
      <w:r w:rsidR="002A24C5">
        <w:rPr>
          <w:lang w:val="fr-CA"/>
        </w:rPr>
        <w:t xml:space="preserve">à </w:t>
      </w:r>
      <w:r w:rsidRPr="0059083D">
        <w:rPr>
          <w:lang w:val="fr-CA"/>
        </w:rPr>
        <w:t xml:space="preserve">vendre des </w:t>
      </w:r>
      <w:r w:rsidR="007C4E71" w:rsidRPr="0059083D">
        <w:rPr>
          <w:lang w:val="fr-CA"/>
        </w:rPr>
        <w:t>titres</w:t>
      </w:r>
      <w:r w:rsidR="000B08F2" w:rsidRPr="0059083D">
        <w:rPr>
          <w:lang w:val="fr-CA"/>
        </w:rPr>
        <w:t xml:space="preserve"> de la Société </w:t>
      </w:r>
      <w:r w:rsidRPr="0059083D">
        <w:rPr>
          <w:lang w:val="fr-CA"/>
        </w:rPr>
        <w:t xml:space="preserve">dans le public </w:t>
      </w:r>
      <w:r w:rsidR="00880D4A">
        <w:rPr>
          <w:lang w:val="fr-CA"/>
        </w:rPr>
        <w:t>à tout moment s</w:t>
      </w:r>
      <w:r w:rsidRPr="0059083D">
        <w:rPr>
          <w:lang w:val="fr-CA"/>
        </w:rPr>
        <w:t xml:space="preserve">ans inscription ou </w:t>
      </w:r>
      <w:r w:rsidR="00880D4A">
        <w:rPr>
          <w:lang w:val="fr-CA"/>
        </w:rPr>
        <w:t>au moyen d’</w:t>
      </w:r>
      <w:r w:rsidRPr="0059083D">
        <w:rPr>
          <w:lang w:val="fr-CA"/>
        </w:rPr>
        <w:t xml:space="preserve">une inscription sur </w:t>
      </w:r>
      <w:r w:rsidR="00F52467" w:rsidRPr="0059083D">
        <w:rPr>
          <w:lang w:val="fr-CA"/>
        </w:rPr>
        <w:t>Formulaire S-</w:t>
      </w:r>
      <w:r w:rsidR="00F52467" w:rsidRPr="00986BEB">
        <w:rPr>
          <w:lang w:val="fr-CA"/>
        </w:rPr>
        <w:t>3</w:t>
      </w:r>
      <w:r w:rsidR="000B08F2" w:rsidRPr="0059083D">
        <w:rPr>
          <w:lang w:val="fr-CA"/>
        </w:rPr>
        <w:t xml:space="preserve"> </w:t>
      </w:r>
      <w:r w:rsidRPr="0059083D">
        <w:rPr>
          <w:lang w:val="fr-CA"/>
        </w:rPr>
        <w:t xml:space="preserve">ou sur </w:t>
      </w:r>
      <w:r w:rsidR="00F52467" w:rsidRPr="0059083D">
        <w:rPr>
          <w:lang w:val="fr-CA"/>
        </w:rPr>
        <w:t>Formulaire F-</w:t>
      </w:r>
      <w:r w:rsidR="00F52467" w:rsidRPr="00986BEB">
        <w:rPr>
          <w:lang w:val="fr-CA"/>
        </w:rPr>
        <w:t>3</w:t>
      </w:r>
      <w:r w:rsidR="000B08F2" w:rsidRPr="0059083D">
        <w:rPr>
          <w:lang w:val="fr-CA"/>
        </w:rPr>
        <w:t xml:space="preserve">, la Société </w:t>
      </w:r>
      <w:r w:rsidRPr="0059083D">
        <w:rPr>
          <w:lang w:val="fr-CA"/>
        </w:rPr>
        <w:t xml:space="preserve">doit, à la suite d’une inscription en vertu de </w:t>
      </w:r>
      <w:r w:rsidR="00F52467" w:rsidRPr="0059083D">
        <w:rPr>
          <w:lang w:val="fr-CA"/>
        </w:rPr>
        <w:t xml:space="preserve">la Loi de </w:t>
      </w:r>
      <w:r w:rsidR="00F52467" w:rsidRPr="00986BEB">
        <w:rPr>
          <w:lang w:val="fr-CA"/>
        </w:rPr>
        <w:t>1933</w:t>
      </w:r>
      <w:r w:rsidRPr="0059083D">
        <w:rPr>
          <w:lang w:val="fr-CA"/>
        </w:rPr>
        <w:t> </w:t>
      </w:r>
      <w:r w:rsidR="000B08F2" w:rsidRPr="0059083D">
        <w:rPr>
          <w:lang w:val="fr-CA"/>
        </w:rPr>
        <w:t>:</w:t>
      </w:r>
      <w:bookmarkEnd w:id="171"/>
    </w:p>
    <w:p w14:paraId="79C317E5" w14:textId="4E8B65BA" w:rsidR="00037C7E" w:rsidRPr="00986BEB" w:rsidRDefault="00D66950">
      <w:pPr>
        <w:pStyle w:val="StandardL4"/>
        <w:rPr>
          <w:lang w:val="fr-CA"/>
        </w:rPr>
      </w:pPr>
      <w:bookmarkStart w:id="172" w:name="_Ref448380582"/>
      <w:r>
        <w:rPr>
          <w:lang w:val="fr-CA"/>
        </w:rPr>
        <w:t xml:space="preserve">rendre accessibles au public </w:t>
      </w:r>
      <w:r w:rsidR="002C72C8" w:rsidRPr="0059083D">
        <w:rPr>
          <w:lang w:val="fr-CA"/>
        </w:rPr>
        <w:t>des renseignements adéquats</w:t>
      </w:r>
      <w:r>
        <w:rPr>
          <w:lang w:val="fr-CA"/>
        </w:rPr>
        <w:t xml:space="preserve"> et à jour</w:t>
      </w:r>
      <w:r w:rsidR="000B08F2" w:rsidRPr="0059083D">
        <w:rPr>
          <w:lang w:val="fr-CA"/>
        </w:rPr>
        <w:t xml:space="preserve">, </w:t>
      </w:r>
      <w:r w:rsidR="002C72C8" w:rsidRPr="0059083D">
        <w:rPr>
          <w:lang w:val="fr-CA"/>
        </w:rPr>
        <w:t xml:space="preserve">conformément à </w:t>
      </w:r>
      <w:r w:rsidR="00D1037F" w:rsidRPr="0059083D">
        <w:rPr>
          <w:lang w:val="fr-CA"/>
        </w:rPr>
        <w:t xml:space="preserve">la </w:t>
      </w:r>
      <w:r w:rsidR="00A45E89" w:rsidRPr="0059083D">
        <w:rPr>
          <w:lang w:val="fr-CA"/>
        </w:rPr>
        <w:t>Règle </w:t>
      </w:r>
      <w:r w:rsidR="00A45E89" w:rsidRPr="00986BEB">
        <w:rPr>
          <w:lang w:val="fr-CA"/>
        </w:rPr>
        <w:t>144</w:t>
      </w:r>
      <w:r w:rsidR="00A45E89" w:rsidRPr="0059083D">
        <w:rPr>
          <w:lang w:val="fr-CA"/>
        </w:rPr>
        <w:t xml:space="preserve"> de la SEC</w:t>
      </w:r>
      <w:r w:rsidR="000B08F2" w:rsidRPr="0059083D">
        <w:rPr>
          <w:lang w:val="fr-CA"/>
        </w:rPr>
        <w:t xml:space="preserve">, </w:t>
      </w:r>
      <w:r w:rsidR="00D1037F" w:rsidRPr="0059083D">
        <w:rPr>
          <w:lang w:val="fr-CA"/>
        </w:rPr>
        <w:t xml:space="preserve">en tout temps après la </w:t>
      </w:r>
      <w:r w:rsidR="00C55AA5" w:rsidRPr="0059083D">
        <w:rPr>
          <w:lang w:val="fr-CA"/>
        </w:rPr>
        <w:t>date d’entrée en vigueur</w:t>
      </w:r>
      <w:r w:rsidR="000B08F2" w:rsidRPr="0059083D">
        <w:rPr>
          <w:lang w:val="fr-CA"/>
        </w:rPr>
        <w:t xml:space="preserve"> </w:t>
      </w:r>
      <w:r w:rsidR="00D1037F" w:rsidRPr="0059083D">
        <w:rPr>
          <w:lang w:val="fr-CA"/>
        </w:rPr>
        <w:t xml:space="preserve">de la </w:t>
      </w:r>
      <w:r w:rsidR="002A0F83" w:rsidRPr="0059083D">
        <w:rPr>
          <w:lang w:val="fr-CA"/>
        </w:rPr>
        <w:t>déclaration d’inscription</w:t>
      </w:r>
      <w:r w:rsidR="000B08F2" w:rsidRPr="0059083D">
        <w:rPr>
          <w:lang w:val="fr-CA"/>
        </w:rPr>
        <w:t xml:space="preserve"> </w:t>
      </w:r>
      <w:r w:rsidR="00D1037F" w:rsidRPr="0059083D">
        <w:rPr>
          <w:lang w:val="fr-CA"/>
        </w:rPr>
        <w:t>déposée par</w:t>
      </w:r>
      <w:r w:rsidR="000B08F2" w:rsidRPr="0059083D">
        <w:rPr>
          <w:lang w:val="fr-CA"/>
        </w:rPr>
        <w:t xml:space="preserve"> la Société </w:t>
      </w:r>
      <w:r w:rsidR="00D1037F" w:rsidRPr="0059083D">
        <w:rPr>
          <w:lang w:val="fr-CA"/>
        </w:rPr>
        <w:t>à l’égard du PAPE</w:t>
      </w:r>
      <w:r w:rsidR="000B08F2" w:rsidRPr="0059083D">
        <w:rPr>
          <w:lang w:val="fr-CA"/>
        </w:rPr>
        <w:t>;</w:t>
      </w:r>
      <w:bookmarkEnd w:id="172"/>
    </w:p>
    <w:p w14:paraId="4C7898E9" w14:textId="532F9E19" w:rsidR="00037C7E" w:rsidRPr="00986BEB" w:rsidRDefault="002C72C8">
      <w:pPr>
        <w:pStyle w:val="StandardL4"/>
        <w:rPr>
          <w:lang w:val="fr-CA"/>
        </w:rPr>
      </w:pPr>
      <w:bookmarkStart w:id="173" w:name="_Ref448380583"/>
      <w:r w:rsidRPr="0059083D">
        <w:rPr>
          <w:lang w:val="fr-CA"/>
        </w:rPr>
        <w:t>déployer des efforts raisonnables sur le plan commercial</w:t>
      </w:r>
      <w:r w:rsidR="000B08F2" w:rsidRPr="0059083D">
        <w:rPr>
          <w:lang w:val="fr-CA"/>
        </w:rPr>
        <w:t xml:space="preserve"> </w:t>
      </w:r>
      <w:r w:rsidRPr="0059083D">
        <w:rPr>
          <w:lang w:val="fr-CA"/>
        </w:rPr>
        <w:t xml:space="preserve">pour déposer auprès de la </w:t>
      </w:r>
      <w:r w:rsidR="000B08F2" w:rsidRPr="0059083D">
        <w:rPr>
          <w:lang w:val="fr-CA"/>
        </w:rPr>
        <w:t xml:space="preserve">SEC </w:t>
      </w:r>
      <w:r w:rsidRPr="0059083D">
        <w:rPr>
          <w:lang w:val="fr-CA"/>
        </w:rPr>
        <w:t xml:space="preserve">en temps opportun tous les rapports et autres documents requis </w:t>
      </w:r>
      <w:r w:rsidR="000B08F2" w:rsidRPr="0059083D">
        <w:rPr>
          <w:lang w:val="fr-CA"/>
        </w:rPr>
        <w:t xml:space="preserve">de la Société </w:t>
      </w:r>
      <w:r w:rsidRPr="0059083D">
        <w:rPr>
          <w:lang w:val="fr-CA"/>
        </w:rPr>
        <w:t xml:space="preserve">aux termes 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 xml:space="preserve">et de la </w:t>
      </w:r>
      <w:r w:rsidR="00F52467" w:rsidRPr="0059083D">
        <w:rPr>
          <w:lang w:val="fr-CA"/>
        </w:rPr>
        <w:t xml:space="preserve">Loi de </w:t>
      </w:r>
      <w:r w:rsidR="00F52467" w:rsidRPr="00986BEB">
        <w:rPr>
          <w:lang w:val="fr-CA"/>
        </w:rPr>
        <w:t>1934</w:t>
      </w:r>
      <w:r w:rsidR="000B08F2" w:rsidRPr="0059083D">
        <w:rPr>
          <w:lang w:val="fr-CA"/>
        </w:rPr>
        <w:t xml:space="preserve"> (</w:t>
      </w:r>
      <w:r w:rsidR="003C4623" w:rsidRPr="0059083D">
        <w:rPr>
          <w:lang w:val="fr-CA"/>
        </w:rPr>
        <w:t xml:space="preserve">après que </w:t>
      </w:r>
      <w:r w:rsidR="000B08F2" w:rsidRPr="0059083D">
        <w:rPr>
          <w:lang w:val="fr-CA"/>
        </w:rPr>
        <w:t xml:space="preserve">la Société </w:t>
      </w:r>
      <w:r w:rsidRPr="0059083D">
        <w:rPr>
          <w:lang w:val="fr-CA"/>
        </w:rPr>
        <w:t>est devenue assujettie à de telles obligations d</w:t>
      </w:r>
      <w:r w:rsidR="002A24C5">
        <w:rPr>
          <w:lang w:val="fr-CA"/>
        </w:rPr>
        <w:t>’information</w:t>
      </w:r>
      <w:r w:rsidR="000B08F2" w:rsidRPr="0059083D">
        <w:rPr>
          <w:lang w:val="fr-CA"/>
        </w:rPr>
        <w:t xml:space="preserve">); </w:t>
      </w:r>
      <w:bookmarkEnd w:id="173"/>
    </w:p>
    <w:p w14:paraId="498F1210" w14:textId="644E0999" w:rsidR="00037C7E" w:rsidRPr="00986BEB" w:rsidRDefault="002C72C8">
      <w:pPr>
        <w:pStyle w:val="StandardL4"/>
        <w:rPr>
          <w:lang w:val="fr-CA"/>
        </w:rPr>
      </w:pPr>
      <w:bookmarkStart w:id="174" w:name="_Ref448380584"/>
      <w:r w:rsidRPr="0059083D">
        <w:rPr>
          <w:lang w:val="fr-CA"/>
        </w:rPr>
        <w:t xml:space="preserve">fournir à tout </w:t>
      </w:r>
      <w:r w:rsidR="0006561D" w:rsidRPr="0059083D">
        <w:rPr>
          <w:lang w:val="fr-CA"/>
        </w:rPr>
        <w:t>Porteur</w:t>
      </w:r>
      <w:r w:rsidR="000B08F2" w:rsidRPr="0059083D">
        <w:rPr>
          <w:lang w:val="fr-CA"/>
        </w:rPr>
        <w:t xml:space="preserve">, </w:t>
      </w:r>
      <w:r w:rsidRPr="0059083D">
        <w:rPr>
          <w:lang w:val="fr-CA"/>
        </w:rPr>
        <w:t xml:space="preserve">tant </w:t>
      </w:r>
      <w:r w:rsidR="00D66950">
        <w:rPr>
          <w:lang w:val="fr-CA"/>
        </w:rPr>
        <w:t>qu</w:t>
      </w:r>
      <w:r w:rsidR="00FA53C9">
        <w:rPr>
          <w:lang w:val="fr-CA"/>
        </w:rPr>
        <w:t xml:space="preserve">e celui-ci </w:t>
      </w:r>
      <w:r w:rsidR="002A24C5">
        <w:rPr>
          <w:lang w:val="fr-CA"/>
        </w:rPr>
        <w:t xml:space="preserve">sera </w:t>
      </w:r>
      <w:r w:rsidRPr="0059083D">
        <w:rPr>
          <w:lang w:val="fr-CA"/>
        </w:rPr>
        <w:t xml:space="preserve">propriétaire de </w:t>
      </w:r>
      <w:r w:rsidR="0006561D" w:rsidRPr="0059083D">
        <w:rPr>
          <w:lang w:val="fr-CA"/>
        </w:rPr>
        <w:t>Titres à inscrire</w:t>
      </w:r>
      <w:r w:rsidR="000B08F2" w:rsidRPr="0059083D">
        <w:rPr>
          <w:lang w:val="fr-CA"/>
        </w:rPr>
        <w:t xml:space="preserve">, </w:t>
      </w:r>
      <w:bookmarkStart w:id="175" w:name="DocXTextRef129"/>
      <w:r w:rsidR="00FA53C9">
        <w:rPr>
          <w:lang w:val="fr-CA"/>
        </w:rPr>
        <w:t>aussitôt qu’elle en reçoit la demande :</w:t>
      </w:r>
      <w:r w:rsidR="00E07CA5" w:rsidRPr="0059083D">
        <w:rPr>
          <w:lang w:val="fr-CA"/>
        </w:rPr>
        <w:t xml:space="preserve"> </w:t>
      </w:r>
      <w:r w:rsidR="000B08F2" w:rsidRPr="0059083D">
        <w:rPr>
          <w:lang w:val="fr-CA"/>
        </w:rPr>
        <w:t>(</w:t>
      </w:r>
      <w:r w:rsidR="000B08F2" w:rsidRPr="00986BEB">
        <w:rPr>
          <w:lang w:val="fr-CA"/>
        </w:rPr>
        <w:t>i</w:t>
      </w:r>
      <w:r w:rsidR="000B08F2" w:rsidRPr="0059083D">
        <w:rPr>
          <w:lang w:val="fr-CA"/>
        </w:rPr>
        <w:t>)</w:t>
      </w:r>
      <w:bookmarkEnd w:id="175"/>
      <w:r w:rsidR="00E07CA5" w:rsidRPr="0059083D">
        <w:rPr>
          <w:lang w:val="fr-CA"/>
        </w:rPr>
        <w:t> </w:t>
      </w:r>
      <w:r w:rsidR="00FA53C9">
        <w:rPr>
          <w:lang w:val="fr-CA"/>
        </w:rPr>
        <w:t>pourvu qu</w:t>
      </w:r>
      <w:r w:rsidR="002A24C5">
        <w:rPr>
          <w:lang w:val="fr-CA"/>
        </w:rPr>
        <w:t>’elle soit véridique</w:t>
      </w:r>
      <w:r w:rsidR="0046297C">
        <w:rPr>
          <w:lang w:val="fr-CA"/>
        </w:rPr>
        <w:t>,</w:t>
      </w:r>
      <w:r w:rsidR="00FA53C9">
        <w:rPr>
          <w:lang w:val="fr-CA"/>
        </w:rPr>
        <w:t xml:space="preserve"> </w:t>
      </w:r>
      <w:r w:rsidR="00E07CA5" w:rsidRPr="0059083D">
        <w:rPr>
          <w:lang w:val="fr-CA"/>
        </w:rPr>
        <w:t xml:space="preserve">une déclaration écrite de </w:t>
      </w:r>
      <w:r w:rsidR="000B08F2" w:rsidRPr="0059083D">
        <w:rPr>
          <w:lang w:val="fr-CA"/>
        </w:rPr>
        <w:t xml:space="preserve">la Société </w:t>
      </w:r>
      <w:r w:rsidR="00E07CA5" w:rsidRPr="0059083D">
        <w:rPr>
          <w:lang w:val="fr-CA"/>
        </w:rPr>
        <w:t>selon laquelle elle s’est conformé</w:t>
      </w:r>
      <w:r w:rsidR="00D03A83">
        <w:rPr>
          <w:lang w:val="fr-CA"/>
        </w:rPr>
        <w:t>e</w:t>
      </w:r>
      <w:r w:rsidR="00FA53C9">
        <w:rPr>
          <w:lang w:val="fr-CA"/>
        </w:rPr>
        <w:t xml:space="preserve"> </w:t>
      </w:r>
      <w:r w:rsidR="00E07CA5" w:rsidRPr="0059083D">
        <w:rPr>
          <w:lang w:val="fr-CA"/>
        </w:rPr>
        <w:t>aux obligations d</w:t>
      </w:r>
      <w:r w:rsidR="002A24C5">
        <w:rPr>
          <w:lang w:val="fr-CA"/>
        </w:rPr>
        <w:t>’information</w:t>
      </w:r>
      <w:r w:rsidR="00E07CA5" w:rsidRPr="0059083D">
        <w:rPr>
          <w:lang w:val="fr-CA"/>
        </w:rPr>
        <w:t xml:space="preserve"> prévues par la </w:t>
      </w:r>
      <w:r w:rsidR="00A45E89" w:rsidRPr="0059083D">
        <w:rPr>
          <w:lang w:val="fr-CA"/>
        </w:rPr>
        <w:t>Règle </w:t>
      </w:r>
      <w:r w:rsidR="00A45E89" w:rsidRPr="00986BEB">
        <w:rPr>
          <w:lang w:val="fr-CA"/>
        </w:rPr>
        <w:t>144</w:t>
      </w:r>
      <w:r w:rsidR="00A45E89" w:rsidRPr="0059083D">
        <w:rPr>
          <w:lang w:val="fr-CA"/>
        </w:rPr>
        <w:t xml:space="preserve"> de la SEC</w:t>
      </w:r>
      <w:r w:rsidR="000B08F2" w:rsidRPr="0059083D">
        <w:rPr>
          <w:lang w:val="fr-CA"/>
        </w:rPr>
        <w:t xml:space="preserve"> (</w:t>
      </w:r>
      <w:r w:rsidR="003C4623" w:rsidRPr="0059083D">
        <w:rPr>
          <w:lang w:val="fr-CA"/>
        </w:rPr>
        <w:t xml:space="preserve">en tout temps après le quatre-vingt-dixième </w:t>
      </w:r>
      <w:r w:rsidR="000B08F2" w:rsidRPr="0059083D">
        <w:rPr>
          <w:lang w:val="fr-CA"/>
        </w:rPr>
        <w:t>(</w:t>
      </w:r>
      <w:r w:rsidR="000B08F2" w:rsidRPr="00986BEB">
        <w:rPr>
          <w:lang w:val="fr-CA"/>
        </w:rPr>
        <w:t>90</w:t>
      </w:r>
      <w:r w:rsidR="003C4623" w:rsidRPr="0059083D">
        <w:rPr>
          <w:vertAlign w:val="superscript"/>
          <w:lang w:val="fr-CA"/>
        </w:rPr>
        <w:t>e</w:t>
      </w:r>
      <w:r w:rsidR="000B08F2" w:rsidRPr="0059083D">
        <w:rPr>
          <w:lang w:val="fr-CA"/>
        </w:rPr>
        <w:t>)</w:t>
      </w:r>
      <w:r w:rsidR="003C4623" w:rsidRPr="0059083D">
        <w:rPr>
          <w:lang w:val="fr-CA"/>
        </w:rPr>
        <w:t xml:space="preserve"> jour suivant la </w:t>
      </w:r>
      <w:r w:rsidR="00C55AA5" w:rsidRPr="0059083D">
        <w:rPr>
          <w:lang w:val="fr-CA"/>
        </w:rPr>
        <w:t>date d’entrée en vigueur</w:t>
      </w:r>
      <w:r w:rsidR="000B08F2" w:rsidRPr="0059083D">
        <w:rPr>
          <w:lang w:val="fr-CA"/>
        </w:rPr>
        <w:t xml:space="preserve"> </w:t>
      </w:r>
      <w:r w:rsidR="003C4623" w:rsidRPr="0059083D">
        <w:rPr>
          <w:lang w:val="fr-CA"/>
        </w:rPr>
        <w:t xml:space="preserve">de la </w:t>
      </w:r>
      <w:r w:rsidR="002A0F83" w:rsidRPr="0059083D">
        <w:rPr>
          <w:lang w:val="fr-CA"/>
        </w:rPr>
        <w:t>déclaration d’inscription</w:t>
      </w:r>
      <w:r w:rsidR="000B08F2" w:rsidRPr="0059083D">
        <w:rPr>
          <w:lang w:val="fr-CA"/>
        </w:rPr>
        <w:t xml:space="preserve"> </w:t>
      </w:r>
      <w:r w:rsidR="00D1037F" w:rsidRPr="0059083D">
        <w:rPr>
          <w:lang w:val="fr-CA"/>
        </w:rPr>
        <w:t>déposée par</w:t>
      </w:r>
      <w:r w:rsidR="000B08F2" w:rsidRPr="0059083D">
        <w:rPr>
          <w:lang w:val="fr-CA"/>
        </w:rPr>
        <w:t xml:space="preserve"> la Société </w:t>
      </w:r>
      <w:r w:rsidR="003C4623" w:rsidRPr="0059083D">
        <w:rPr>
          <w:lang w:val="fr-CA"/>
        </w:rPr>
        <w:t>à l’égard du PAPE</w:t>
      </w:r>
      <w:r w:rsidR="000B08F2" w:rsidRPr="0059083D">
        <w:rPr>
          <w:lang w:val="fr-CA"/>
        </w:rPr>
        <w:t xml:space="preserve">), </w:t>
      </w:r>
      <w:r w:rsidR="003C4623" w:rsidRPr="0059083D">
        <w:rPr>
          <w:lang w:val="fr-CA"/>
        </w:rPr>
        <w:t xml:space="preserve">par </w:t>
      </w:r>
      <w:r w:rsidR="00F52467" w:rsidRPr="0059083D">
        <w:rPr>
          <w:lang w:val="fr-CA"/>
        </w:rPr>
        <w:t xml:space="preserve">la Loi de </w:t>
      </w:r>
      <w:r w:rsidR="00F52467" w:rsidRPr="00986BEB">
        <w:rPr>
          <w:lang w:val="fr-CA"/>
        </w:rPr>
        <w:t>1933</w:t>
      </w:r>
      <w:r w:rsidR="003C4623" w:rsidRPr="0059083D">
        <w:rPr>
          <w:lang w:val="fr-CA"/>
        </w:rPr>
        <w:t xml:space="preserve"> et par la </w:t>
      </w:r>
      <w:r w:rsidR="00F52467" w:rsidRPr="0059083D">
        <w:rPr>
          <w:lang w:val="fr-CA"/>
        </w:rPr>
        <w:t xml:space="preserve">Loi de </w:t>
      </w:r>
      <w:r w:rsidR="00F52467" w:rsidRPr="00986BEB">
        <w:rPr>
          <w:lang w:val="fr-CA"/>
        </w:rPr>
        <w:t>1934</w:t>
      </w:r>
      <w:r w:rsidR="000B08F2" w:rsidRPr="0059083D">
        <w:rPr>
          <w:lang w:val="fr-CA"/>
        </w:rPr>
        <w:t xml:space="preserve"> (</w:t>
      </w:r>
      <w:r w:rsidR="003C4623" w:rsidRPr="0059083D">
        <w:rPr>
          <w:lang w:val="fr-CA"/>
        </w:rPr>
        <w:t>en tout temps après que la Société est devenue assujettie à de telles obligations d</w:t>
      </w:r>
      <w:r w:rsidR="002A24C5">
        <w:rPr>
          <w:lang w:val="fr-CA"/>
        </w:rPr>
        <w:t>’information</w:t>
      </w:r>
      <w:r w:rsidR="000B08F2" w:rsidRPr="0059083D">
        <w:rPr>
          <w:lang w:val="fr-CA"/>
        </w:rPr>
        <w:t xml:space="preserve">), </w:t>
      </w:r>
      <w:r w:rsidR="003C4623" w:rsidRPr="0059083D">
        <w:rPr>
          <w:lang w:val="fr-CA"/>
        </w:rPr>
        <w:t xml:space="preserve">ou selon laquelle elle est admissible à titre de personne inscrite dont les </w:t>
      </w:r>
      <w:r w:rsidR="007C4E71" w:rsidRPr="0059083D">
        <w:rPr>
          <w:lang w:val="fr-CA"/>
        </w:rPr>
        <w:t>titres</w:t>
      </w:r>
      <w:r w:rsidR="000B08F2" w:rsidRPr="0059083D">
        <w:rPr>
          <w:lang w:val="fr-CA"/>
        </w:rPr>
        <w:t xml:space="preserve"> </w:t>
      </w:r>
      <w:r w:rsidR="003C4623" w:rsidRPr="0059083D">
        <w:rPr>
          <w:lang w:val="fr-CA"/>
        </w:rPr>
        <w:t>peuvent être reven</w:t>
      </w:r>
      <w:r w:rsidR="002764D0">
        <w:rPr>
          <w:lang w:val="fr-CA"/>
        </w:rPr>
        <w:t>d</w:t>
      </w:r>
      <w:r w:rsidR="003C4623" w:rsidRPr="0059083D">
        <w:rPr>
          <w:lang w:val="fr-CA"/>
        </w:rPr>
        <w:t xml:space="preserve">us conformément au </w:t>
      </w:r>
      <w:r w:rsidR="00F52467" w:rsidRPr="0059083D">
        <w:rPr>
          <w:lang w:val="fr-CA"/>
        </w:rPr>
        <w:t>Formulaire S-</w:t>
      </w:r>
      <w:r w:rsidR="00F52467" w:rsidRPr="00986BEB">
        <w:rPr>
          <w:lang w:val="fr-CA"/>
        </w:rPr>
        <w:t>3</w:t>
      </w:r>
      <w:r w:rsidR="000B08F2" w:rsidRPr="0059083D">
        <w:rPr>
          <w:lang w:val="fr-CA"/>
        </w:rPr>
        <w:t xml:space="preserve"> </w:t>
      </w:r>
      <w:r w:rsidR="003C4623" w:rsidRPr="0059083D">
        <w:rPr>
          <w:lang w:val="fr-CA"/>
        </w:rPr>
        <w:t xml:space="preserve">ou au </w:t>
      </w:r>
      <w:r w:rsidR="00F52467" w:rsidRPr="0059083D">
        <w:rPr>
          <w:lang w:val="fr-CA"/>
        </w:rPr>
        <w:t>Formulaire F-</w:t>
      </w:r>
      <w:r w:rsidR="00F52467" w:rsidRPr="00986BEB">
        <w:rPr>
          <w:lang w:val="fr-CA"/>
        </w:rPr>
        <w:t>3</w:t>
      </w:r>
      <w:r w:rsidR="000B08F2" w:rsidRPr="0059083D">
        <w:rPr>
          <w:lang w:val="fr-CA"/>
        </w:rPr>
        <w:t xml:space="preserve"> (</w:t>
      </w:r>
      <w:r w:rsidR="003C4623" w:rsidRPr="0059083D">
        <w:rPr>
          <w:lang w:val="fr-CA"/>
        </w:rPr>
        <w:t xml:space="preserve">en tout temps après que </w:t>
      </w:r>
      <w:r w:rsidR="000B08F2" w:rsidRPr="0059083D">
        <w:rPr>
          <w:lang w:val="fr-CA"/>
        </w:rPr>
        <w:t xml:space="preserve">la Société </w:t>
      </w:r>
      <w:r w:rsidR="003C4623" w:rsidRPr="0059083D">
        <w:rPr>
          <w:lang w:val="fr-CA"/>
        </w:rPr>
        <w:t>est devenue admissible à ce titre</w:t>
      </w:r>
      <w:r w:rsidR="000B08F2" w:rsidRPr="0059083D">
        <w:rPr>
          <w:lang w:val="fr-CA"/>
        </w:rPr>
        <w:t>); [(</w:t>
      </w:r>
      <w:r w:rsidR="000B08F2" w:rsidRPr="00986BEB">
        <w:rPr>
          <w:lang w:val="fr-CA"/>
        </w:rPr>
        <w:t>ii</w:t>
      </w:r>
      <w:r w:rsidR="000B08F2" w:rsidRPr="0059083D">
        <w:rPr>
          <w:lang w:val="fr-CA"/>
        </w:rPr>
        <w:t>)</w:t>
      </w:r>
      <w:r w:rsidR="003C4623" w:rsidRPr="0059083D">
        <w:rPr>
          <w:lang w:val="fr-CA"/>
        </w:rPr>
        <w:t xml:space="preserve"> un exemplaire du dernier rapport annuel ou trimestriel </w:t>
      </w:r>
      <w:r w:rsidR="000B08F2" w:rsidRPr="0059083D">
        <w:rPr>
          <w:lang w:val="fr-CA"/>
        </w:rPr>
        <w:t xml:space="preserve">de la Société </w:t>
      </w:r>
      <w:r w:rsidR="003C4623" w:rsidRPr="0059083D">
        <w:rPr>
          <w:lang w:val="fr-CA"/>
        </w:rPr>
        <w:t xml:space="preserve">et de tout autre rapport ou document ainsi </w:t>
      </w:r>
      <w:r w:rsidR="00D1037F" w:rsidRPr="0059083D">
        <w:rPr>
          <w:lang w:val="fr-CA"/>
        </w:rPr>
        <w:t>déposé par</w:t>
      </w:r>
      <w:r w:rsidR="000B08F2" w:rsidRPr="0059083D">
        <w:rPr>
          <w:lang w:val="fr-CA"/>
        </w:rPr>
        <w:t xml:space="preserve"> la Société</w:t>
      </w:r>
      <w:bookmarkStart w:id="176" w:name="_Ref448380696"/>
      <w:r w:rsidR="000B08F2" w:rsidRPr="00986BEB">
        <w:rPr>
          <w:rStyle w:val="FootnoteReference"/>
          <w:lang w:val="fr-CA"/>
        </w:rPr>
        <w:footnoteReference w:id="27"/>
      </w:r>
      <w:bookmarkEnd w:id="176"/>
      <w:r w:rsidR="005A7FF6" w:rsidRPr="0059083D">
        <w:rPr>
          <w:lang w:val="fr-CA"/>
        </w:rPr>
        <w:t>;</w:t>
      </w:r>
      <w:r w:rsidR="000B08F2" w:rsidRPr="0059083D">
        <w:rPr>
          <w:lang w:val="fr-CA"/>
        </w:rPr>
        <w:t xml:space="preserve">] </w:t>
      </w:r>
      <w:r w:rsidR="005A7FF6" w:rsidRPr="0059083D">
        <w:rPr>
          <w:lang w:val="fr-CA"/>
        </w:rPr>
        <w:t xml:space="preserve">et </w:t>
      </w:r>
      <w:bookmarkStart w:id="177" w:name="DocXTextRef132"/>
      <w:r w:rsidR="000B08F2" w:rsidRPr="0059083D">
        <w:rPr>
          <w:lang w:val="fr-CA"/>
        </w:rPr>
        <w:t>(</w:t>
      </w:r>
      <w:r w:rsidR="000B08F2" w:rsidRPr="00986BEB">
        <w:rPr>
          <w:lang w:val="fr-CA"/>
        </w:rPr>
        <w:t>iii</w:t>
      </w:r>
      <w:r w:rsidR="000B08F2" w:rsidRPr="0059083D">
        <w:rPr>
          <w:lang w:val="fr-CA"/>
        </w:rPr>
        <w:t>)</w:t>
      </w:r>
      <w:bookmarkEnd w:id="177"/>
      <w:r w:rsidR="005A7FF6" w:rsidRPr="0059083D">
        <w:rPr>
          <w:lang w:val="fr-CA"/>
        </w:rPr>
        <w:t xml:space="preserve"> les autres renseignements raisonnablement </w:t>
      </w:r>
      <w:r w:rsidR="001E60C1">
        <w:rPr>
          <w:lang w:val="fr-CA"/>
        </w:rPr>
        <w:t xml:space="preserve">demandés </w:t>
      </w:r>
      <w:r w:rsidR="002764D0">
        <w:rPr>
          <w:lang w:val="fr-CA"/>
        </w:rPr>
        <w:t>pour</w:t>
      </w:r>
      <w:r w:rsidR="001E60C1">
        <w:rPr>
          <w:lang w:val="fr-CA"/>
        </w:rPr>
        <w:t xml:space="preserve"> permettre à </w:t>
      </w:r>
      <w:r w:rsidR="005A7FF6" w:rsidRPr="0059083D">
        <w:rPr>
          <w:lang w:val="fr-CA"/>
        </w:rPr>
        <w:t xml:space="preserve">un Porteur </w:t>
      </w:r>
      <w:r w:rsidR="001E60C1">
        <w:rPr>
          <w:lang w:val="fr-CA"/>
        </w:rPr>
        <w:t>de</w:t>
      </w:r>
      <w:r w:rsidR="005A7FF6" w:rsidRPr="0059083D">
        <w:rPr>
          <w:lang w:val="fr-CA"/>
        </w:rPr>
        <w:t xml:space="preserve"> se prévaloir de toute règle ou de tout règlement de la SEC </w:t>
      </w:r>
      <w:r w:rsidR="001E60C1">
        <w:rPr>
          <w:lang w:val="fr-CA"/>
        </w:rPr>
        <w:t xml:space="preserve">autorisant </w:t>
      </w:r>
      <w:r w:rsidR="005A7FF6" w:rsidRPr="0059083D">
        <w:rPr>
          <w:lang w:val="fr-CA"/>
        </w:rPr>
        <w:t xml:space="preserve">la vente de ces </w:t>
      </w:r>
      <w:r w:rsidR="007C4E71" w:rsidRPr="0059083D">
        <w:rPr>
          <w:lang w:val="fr-CA"/>
        </w:rPr>
        <w:t>titres</w:t>
      </w:r>
      <w:r w:rsidR="000B08F2" w:rsidRPr="0059083D">
        <w:rPr>
          <w:lang w:val="fr-CA"/>
        </w:rPr>
        <w:t xml:space="preserve"> </w:t>
      </w:r>
      <w:r w:rsidR="005A7FF6" w:rsidRPr="0059083D">
        <w:rPr>
          <w:lang w:val="fr-CA"/>
        </w:rPr>
        <w:t>sans inscription</w:t>
      </w:r>
      <w:r w:rsidR="000B08F2" w:rsidRPr="0059083D">
        <w:rPr>
          <w:lang w:val="fr-CA"/>
        </w:rPr>
        <w:t xml:space="preserve"> (</w:t>
      </w:r>
      <w:r w:rsidR="005A7FF6" w:rsidRPr="0059083D">
        <w:rPr>
          <w:lang w:val="fr-CA"/>
        </w:rPr>
        <w:t xml:space="preserve">en tout temps après que la </w:t>
      </w:r>
      <w:r w:rsidR="000B08F2" w:rsidRPr="0059083D">
        <w:rPr>
          <w:lang w:val="fr-CA"/>
        </w:rPr>
        <w:t xml:space="preserve">Société </w:t>
      </w:r>
      <w:r w:rsidR="005A7FF6" w:rsidRPr="0059083D">
        <w:rPr>
          <w:lang w:val="fr-CA"/>
        </w:rPr>
        <w:t>est devenue assujettie aux obligations d</w:t>
      </w:r>
      <w:r w:rsidR="0046297C">
        <w:rPr>
          <w:lang w:val="fr-CA"/>
        </w:rPr>
        <w:t>’information</w:t>
      </w:r>
      <w:r w:rsidR="005A7FF6" w:rsidRPr="0059083D">
        <w:rPr>
          <w:lang w:val="fr-CA"/>
        </w:rPr>
        <w:t xml:space="preserve"> prévues par la </w:t>
      </w:r>
      <w:r w:rsidR="00F52467" w:rsidRPr="0059083D">
        <w:rPr>
          <w:lang w:val="fr-CA"/>
        </w:rPr>
        <w:t xml:space="preserve">Loi de </w:t>
      </w:r>
      <w:r w:rsidR="00F52467" w:rsidRPr="00986BEB">
        <w:rPr>
          <w:lang w:val="fr-CA"/>
        </w:rPr>
        <w:t>1934</w:t>
      </w:r>
      <w:r w:rsidR="000B08F2" w:rsidRPr="0059083D">
        <w:rPr>
          <w:lang w:val="fr-CA"/>
        </w:rPr>
        <w:t xml:space="preserve">) </w:t>
      </w:r>
      <w:r w:rsidR="005A7FF6" w:rsidRPr="0059083D">
        <w:rPr>
          <w:lang w:val="fr-CA"/>
        </w:rPr>
        <w:t xml:space="preserve">ou </w:t>
      </w:r>
      <w:r w:rsidR="006531C5">
        <w:rPr>
          <w:lang w:val="fr-CA"/>
        </w:rPr>
        <w:t xml:space="preserve">au moyen d’un </w:t>
      </w:r>
      <w:r w:rsidR="00F52467" w:rsidRPr="0059083D">
        <w:rPr>
          <w:lang w:val="fr-CA"/>
        </w:rPr>
        <w:t>Formulaire S-</w:t>
      </w:r>
      <w:r w:rsidR="00F52467" w:rsidRPr="00986BEB">
        <w:rPr>
          <w:lang w:val="fr-CA"/>
        </w:rPr>
        <w:t>3</w:t>
      </w:r>
      <w:r w:rsidR="000B08F2" w:rsidRPr="0059083D">
        <w:rPr>
          <w:lang w:val="fr-CA"/>
        </w:rPr>
        <w:t xml:space="preserve"> </w:t>
      </w:r>
      <w:r w:rsidR="005A7FF6" w:rsidRPr="0059083D">
        <w:rPr>
          <w:lang w:val="fr-CA"/>
        </w:rPr>
        <w:t xml:space="preserve">ou </w:t>
      </w:r>
      <w:r w:rsidR="006531C5">
        <w:rPr>
          <w:lang w:val="fr-CA"/>
        </w:rPr>
        <w:t xml:space="preserve">d’un </w:t>
      </w:r>
      <w:r w:rsidR="00F52467" w:rsidRPr="0059083D">
        <w:rPr>
          <w:lang w:val="fr-CA"/>
        </w:rPr>
        <w:t>Formulaire F-</w:t>
      </w:r>
      <w:r w:rsidR="00F52467" w:rsidRPr="00986BEB">
        <w:rPr>
          <w:lang w:val="fr-CA"/>
        </w:rPr>
        <w:t>3</w:t>
      </w:r>
      <w:r w:rsidR="000B08F2" w:rsidRPr="0059083D">
        <w:rPr>
          <w:lang w:val="fr-CA"/>
        </w:rPr>
        <w:t xml:space="preserve"> (</w:t>
      </w:r>
      <w:r w:rsidR="005A7FF6" w:rsidRPr="0059083D">
        <w:rPr>
          <w:lang w:val="fr-CA"/>
        </w:rPr>
        <w:t xml:space="preserve">en tout temps après que </w:t>
      </w:r>
      <w:r w:rsidR="000B08F2" w:rsidRPr="0059083D">
        <w:rPr>
          <w:lang w:val="fr-CA"/>
        </w:rPr>
        <w:t xml:space="preserve">la Société </w:t>
      </w:r>
      <w:r w:rsidR="005A7FF6" w:rsidRPr="0059083D">
        <w:rPr>
          <w:lang w:val="fr-CA"/>
        </w:rPr>
        <w:t>est devenue autorisée à utiliser un tel formulaire</w:t>
      </w:r>
      <w:r w:rsidR="000B08F2" w:rsidRPr="0059083D">
        <w:rPr>
          <w:lang w:val="fr-CA"/>
        </w:rPr>
        <w:t>).</w:t>
      </w:r>
      <w:bookmarkEnd w:id="174"/>
    </w:p>
    <w:p w14:paraId="10B4CD7A" w14:textId="5B7C3DCF" w:rsidR="00037C7E" w:rsidRPr="00986BEB" w:rsidRDefault="00690FE8">
      <w:pPr>
        <w:pStyle w:val="StandardL3"/>
        <w:rPr>
          <w:lang w:val="fr-CA"/>
        </w:rPr>
      </w:pPr>
      <w:bookmarkStart w:id="178" w:name="_Ref448380585"/>
      <w:r w:rsidRPr="0059083D">
        <w:rPr>
          <w:lang w:val="fr-CA"/>
        </w:rPr>
        <w:t xml:space="preserve">Lorsqu’un </w:t>
      </w:r>
      <w:r w:rsidR="0006561D" w:rsidRPr="0059083D">
        <w:rPr>
          <w:lang w:val="fr-CA"/>
        </w:rPr>
        <w:t>Porteur</w:t>
      </w:r>
      <w:r w:rsidR="000B08F2" w:rsidRPr="0059083D">
        <w:rPr>
          <w:lang w:val="fr-CA"/>
        </w:rPr>
        <w:t xml:space="preserve"> </w:t>
      </w:r>
      <w:r w:rsidRPr="0059083D">
        <w:rPr>
          <w:lang w:val="fr-CA"/>
        </w:rPr>
        <w:t>souhaite se prévaloir des dispositions du Règlement </w:t>
      </w:r>
      <w:r w:rsidR="000B08F2" w:rsidRPr="00986BEB">
        <w:rPr>
          <w:lang w:val="fr-CA"/>
        </w:rPr>
        <w:t>45-102</w:t>
      </w:r>
      <w:r w:rsidR="000B08F2" w:rsidRPr="0059083D">
        <w:rPr>
          <w:lang w:val="fr-CA"/>
        </w:rPr>
        <w:t xml:space="preserve"> </w:t>
      </w:r>
      <w:r w:rsidRPr="0059083D">
        <w:rPr>
          <w:lang w:val="fr-CA"/>
        </w:rPr>
        <w:t xml:space="preserve">ou de tout instrument remplaçant adopté par les </w:t>
      </w:r>
      <w:r w:rsidR="00A04807" w:rsidRPr="0059083D">
        <w:rPr>
          <w:lang w:val="fr-CA"/>
        </w:rPr>
        <w:t>autorités en valeurs mobilières canadiennes</w:t>
      </w:r>
      <w:r w:rsidR="000B08F2" w:rsidRPr="0059083D">
        <w:rPr>
          <w:lang w:val="fr-CA"/>
        </w:rPr>
        <w:t xml:space="preserve"> (</w:t>
      </w:r>
      <w:r w:rsidRPr="0059083D">
        <w:rPr>
          <w:lang w:val="fr-CA"/>
        </w:rPr>
        <w:t xml:space="preserve">le </w:t>
      </w:r>
      <w:r w:rsidR="000B08F2" w:rsidRPr="0059083D">
        <w:rPr>
          <w:lang w:val="fr-CA"/>
        </w:rPr>
        <w:t>« </w:t>
      </w:r>
      <w:r w:rsidRPr="0059083D">
        <w:rPr>
          <w:b/>
          <w:lang w:val="fr-CA"/>
        </w:rPr>
        <w:t>Règlement </w:t>
      </w:r>
      <w:r w:rsidR="000B08F2" w:rsidRPr="00986BEB">
        <w:rPr>
          <w:b/>
          <w:lang w:val="fr-CA"/>
        </w:rPr>
        <w:t>45-102</w:t>
      </w:r>
      <w:r w:rsidR="000B08F2" w:rsidRPr="0059083D">
        <w:rPr>
          <w:lang w:val="fr-CA"/>
        </w:rPr>
        <w:t xml:space="preserve"> ») </w:t>
      </w:r>
      <w:r w:rsidRPr="0059083D">
        <w:rPr>
          <w:lang w:val="fr-CA"/>
        </w:rPr>
        <w:t xml:space="preserve">afin de revendre ses </w:t>
      </w:r>
      <w:r w:rsidR="0006561D" w:rsidRPr="0059083D">
        <w:rPr>
          <w:lang w:val="fr-CA"/>
        </w:rPr>
        <w:t>Titres à inscrire</w:t>
      </w:r>
      <w:r w:rsidR="000B08F2" w:rsidRPr="0059083D">
        <w:rPr>
          <w:lang w:val="fr-CA"/>
        </w:rPr>
        <w:t xml:space="preserve"> </w:t>
      </w:r>
      <w:r w:rsidRPr="0059083D">
        <w:rPr>
          <w:lang w:val="fr-CA"/>
        </w:rPr>
        <w:t xml:space="preserve">aux termes des </w:t>
      </w:r>
      <w:r w:rsidR="0006561D" w:rsidRPr="0059083D">
        <w:rPr>
          <w:lang w:val="fr-CA"/>
        </w:rPr>
        <w:t>Lois sur les valeurs mobilières canadiennes</w:t>
      </w:r>
      <w:r w:rsidR="000B08F2" w:rsidRPr="0059083D">
        <w:rPr>
          <w:lang w:val="fr-CA"/>
        </w:rPr>
        <w:t xml:space="preserve">, la Société </w:t>
      </w:r>
      <w:r w:rsidRPr="0059083D">
        <w:rPr>
          <w:lang w:val="fr-CA"/>
        </w:rPr>
        <w:t xml:space="preserve">s’assure de ne pas </w:t>
      </w:r>
      <w:r w:rsidR="006531C5">
        <w:rPr>
          <w:lang w:val="fr-CA"/>
        </w:rPr>
        <w:t xml:space="preserve">contrevenir aux </w:t>
      </w:r>
      <w:r w:rsidR="0006561D" w:rsidRPr="0059083D">
        <w:rPr>
          <w:lang w:val="fr-CA"/>
        </w:rPr>
        <w:t>Lois sur les valeurs mobilières canadiennes</w:t>
      </w:r>
      <w:r w:rsidR="000B08F2" w:rsidRPr="0059083D">
        <w:rPr>
          <w:lang w:val="fr-CA"/>
        </w:rPr>
        <w:t xml:space="preserve"> </w:t>
      </w:r>
      <w:r w:rsidRPr="0059083D">
        <w:rPr>
          <w:lang w:val="fr-CA"/>
        </w:rPr>
        <w:t>des territoires canadiens dans lesquels elle est un émetteur assujetti et prend par ailleurs les mesures nécessaires pour respecter les autres exigences du Règlement </w:t>
      </w:r>
      <w:r w:rsidR="000B08F2" w:rsidRPr="00986BEB">
        <w:rPr>
          <w:lang w:val="fr-CA"/>
        </w:rPr>
        <w:t>45</w:t>
      </w:r>
      <w:r w:rsidR="006531C5" w:rsidRPr="00986BEB">
        <w:rPr>
          <w:lang w:val="fr-CA"/>
        </w:rPr>
        <w:noBreakHyphen/>
      </w:r>
      <w:r w:rsidR="000B08F2" w:rsidRPr="00986BEB">
        <w:rPr>
          <w:lang w:val="fr-CA"/>
        </w:rPr>
        <w:t>102</w:t>
      </w:r>
      <w:r w:rsidR="000B08F2" w:rsidRPr="0059083D">
        <w:rPr>
          <w:lang w:val="fr-CA"/>
        </w:rPr>
        <w:t>.</w:t>
      </w:r>
      <w:bookmarkEnd w:id="178"/>
    </w:p>
    <w:p w14:paraId="033B76C0" w14:textId="4C732DBA" w:rsidR="00037C7E" w:rsidRPr="00986BEB" w:rsidRDefault="000B08F2">
      <w:pPr>
        <w:pStyle w:val="StandardL2"/>
        <w:rPr>
          <w:lang w:val="fr-CA"/>
        </w:rPr>
      </w:pPr>
      <w:bookmarkStart w:id="179" w:name="_Ref448380586"/>
      <w:bookmarkStart w:id="180" w:name="_Toc132874726"/>
      <w:r w:rsidRPr="009D4254">
        <w:rPr>
          <w:lang w:val="fr-CA"/>
        </w:rPr>
        <w:t>Limitation</w:t>
      </w:r>
      <w:r w:rsidR="000F37C7" w:rsidRPr="009D4254">
        <w:rPr>
          <w:lang w:val="fr-CA"/>
        </w:rPr>
        <w:t xml:space="preserve"> des droits d’inscription subséquents</w:t>
      </w:r>
      <w:r w:rsidRPr="009D4254">
        <w:rPr>
          <w:snapToGrid w:val="0"/>
          <w:lang w:val="fr-CA"/>
        </w:rPr>
        <w:t>.</w:t>
      </w:r>
      <w:bookmarkEnd w:id="179"/>
      <w:bookmarkEnd w:id="180"/>
    </w:p>
    <w:p w14:paraId="1B47446C" w14:textId="70C978E8" w:rsidR="00037C7E" w:rsidRPr="0059083D" w:rsidRDefault="000F37C7">
      <w:pPr>
        <w:pStyle w:val="StandardCont2"/>
        <w:rPr>
          <w:lang w:val="fr-CA"/>
        </w:rPr>
      </w:pPr>
      <w:r w:rsidRPr="0059083D">
        <w:rPr>
          <w:snapToGrid w:val="0"/>
          <w:lang w:val="fr-CA"/>
        </w:rPr>
        <w:t xml:space="preserve">À compter de la </w:t>
      </w:r>
      <w:r w:rsidR="000B08F2" w:rsidRPr="0059083D">
        <w:rPr>
          <w:snapToGrid w:val="0"/>
          <w:lang w:val="fr-CA"/>
        </w:rPr>
        <w:t xml:space="preserve">date de la présente Convention, la Société </w:t>
      </w:r>
      <w:r w:rsidRPr="0059083D">
        <w:rPr>
          <w:snapToGrid w:val="0"/>
          <w:lang w:val="fr-CA"/>
        </w:rPr>
        <w:t>s’abstient</w:t>
      </w:r>
      <w:r w:rsidR="000B08F2" w:rsidRPr="0059083D">
        <w:rPr>
          <w:snapToGrid w:val="0"/>
          <w:lang w:val="fr-CA"/>
        </w:rPr>
        <w:t xml:space="preserve">, </w:t>
      </w:r>
      <w:r w:rsidRPr="0059083D">
        <w:rPr>
          <w:snapToGrid w:val="0"/>
          <w:lang w:val="fr-CA"/>
        </w:rPr>
        <w:t>sans le consentement préalable écrit</w:t>
      </w:r>
      <w:r w:rsidR="000B08F2" w:rsidRPr="0059083D">
        <w:rPr>
          <w:snapToGrid w:val="0"/>
          <w:lang w:val="fr-CA"/>
        </w:rPr>
        <w:t xml:space="preserve"> </w:t>
      </w:r>
      <w:r w:rsidRPr="0059083D">
        <w:rPr>
          <w:snapToGrid w:val="0"/>
          <w:lang w:val="fr-CA"/>
        </w:rPr>
        <w:t xml:space="preserve">des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de </w:t>
      </w:r>
      <w:r w:rsidR="000B08F2" w:rsidRPr="0059083D">
        <w:rPr>
          <w:snapToGrid w:val="0"/>
          <w:lang w:val="fr-CA"/>
        </w:rPr>
        <w:t>[</w:t>
      </w:r>
      <w:r w:rsidRPr="0059083D">
        <w:rPr>
          <w:i/>
          <w:snapToGrid w:val="0"/>
          <w:lang w:val="fr-CA"/>
        </w:rPr>
        <w:t>préciser le pourcentage</w:t>
      </w:r>
      <w:r w:rsidR="000B08F2" w:rsidRPr="0059083D">
        <w:rPr>
          <w:snapToGrid w:val="0"/>
          <w:lang w:val="fr-CA"/>
        </w:rPr>
        <w:t xml:space="preserve">] </w:t>
      </w:r>
      <w:r w:rsidRPr="0059083D">
        <w:rPr>
          <w:snapToGrid w:val="0"/>
          <w:lang w:val="fr-CA"/>
        </w:rPr>
        <w:t>d</w:t>
      </w:r>
      <w:r w:rsidR="000B08F2" w:rsidRPr="0059083D">
        <w:rPr>
          <w:snapToGrid w:val="0"/>
          <w:lang w:val="fr-CA"/>
        </w:rPr>
        <w:t xml:space="preserve">es </w:t>
      </w:r>
      <w:r w:rsidR="0006561D" w:rsidRPr="0059083D">
        <w:rPr>
          <w:snapToGrid w:val="0"/>
          <w:lang w:val="fr-CA"/>
        </w:rPr>
        <w:t>Titres à inscrire</w:t>
      </w:r>
      <w:r w:rsidR="000B08F2" w:rsidRPr="0059083D">
        <w:rPr>
          <w:snapToGrid w:val="0"/>
          <w:lang w:val="fr-CA"/>
        </w:rPr>
        <w:t xml:space="preserve"> </w:t>
      </w:r>
      <w:r w:rsidR="002A0F83" w:rsidRPr="0059083D">
        <w:rPr>
          <w:snapToGrid w:val="0"/>
          <w:lang w:val="fr-CA"/>
        </w:rPr>
        <w:t>alors en circulation</w:t>
      </w:r>
      <w:r w:rsidR="000B08F2" w:rsidRPr="0059083D">
        <w:rPr>
          <w:snapToGrid w:val="0"/>
          <w:lang w:val="fr-CA"/>
        </w:rPr>
        <w:t xml:space="preserve">, </w:t>
      </w:r>
      <w:r w:rsidRPr="0059083D">
        <w:rPr>
          <w:snapToGrid w:val="0"/>
          <w:lang w:val="fr-CA"/>
        </w:rPr>
        <w:t xml:space="preserve">de conclure avec tout porteur ou porteur </w:t>
      </w:r>
      <w:r w:rsidR="00624C63">
        <w:rPr>
          <w:snapToGrid w:val="0"/>
          <w:lang w:val="fr-CA"/>
        </w:rPr>
        <w:t xml:space="preserve">éventuel </w:t>
      </w:r>
      <w:r w:rsidRPr="0059083D">
        <w:rPr>
          <w:snapToGrid w:val="0"/>
          <w:lang w:val="fr-CA"/>
        </w:rPr>
        <w:t xml:space="preserve">de </w:t>
      </w:r>
      <w:r w:rsidR="007C4E71" w:rsidRPr="0059083D">
        <w:rPr>
          <w:snapToGrid w:val="0"/>
          <w:lang w:val="fr-CA"/>
        </w:rPr>
        <w:t>titres</w:t>
      </w:r>
      <w:r w:rsidR="000B08F2" w:rsidRPr="0059083D">
        <w:rPr>
          <w:snapToGrid w:val="0"/>
          <w:lang w:val="fr-CA"/>
        </w:rPr>
        <w:t xml:space="preserve"> de la Société </w:t>
      </w:r>
      <w:r w:rsidRPr="0059083D">
        <w:rPr>
          <w:snapToGrid w:val="0"/>
          <w:lang w:val="fr-CA"/>
        </w:rPr>
        <w:t xml:space="preserve">une convention qui </w:t>
      </w:r>
      <w:r w:rsidR="000B08F2" w:rsidRPr="0059083D">
        <w:rPr>
          <w:snapToGrid w:val="0"/>
          <w:lang w:val="fr-CA"/>
        </w:rPr>
        <w:t>[(i)</w:t>
      </w:r>
      <w:r w:rsidRPr="0059083D">
        <w:rPr>
          <w:snapToGrid w:val="0"/>
          <w:lang w:val="fr-CA"/>
        </w:rPr>
        <w:t> conférerait à ce porteur ou porteur</w:t>
      </w:r>
      <w:r w:rsidR="00A54421">
        <w:rPr>
          <w:snapToGrid w:val="0"/>
          <w:lang w:val="fr-CA"/>
        </w:rPr>
        <w:t xml:space="preserve"> éventuel</w:t>
      </w:r>
      <w:r w:rsidRPr="0059083D">
        <w:rPr>
          <w:snapToGrid w:val="0"/>
          <w:lang w:val="fr-CA"/>
        </w:rPr>
        <w:t xml:space="preserve"> le droit d’inclure des </w:t>
      </w:r>
      <w:r w:rsidR="007C4E71" w:rsidRPr="0059083D">
        <w:rPr>
          <w:snapToGrid w:val="0"/>
          <w:lang w:val="fr-CA"/>
        </w:rPr>
        <w:t>titres</w:t>
      </w:r>
      <w:r w:rsidR="000B08F2" w:rsidRPr="0059083D">
        <w:rPr>
          <w:snapToGrid w:val="0"/>
          <w:lang w:val="fr-CA"/>
        </w:rPr>
        <w:t xml:space="preserve"> </w:t>
      </w:r>
      <w:r w:rsidRPr="0059083D">
        <w:rPr>
          <w:snapToGrid w:val="0"/>
          <w:lang w:val="fr-CA"/>
        </w:rPr>
        <w:t xml:space="preserve">dans une inscription autrement qu’au prorata des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ou de façon subordonnée après que tous les </w:t>
      </w:r>
      <w:r w:rsidR="00E043C9" w:rsidRPr="0059083D">
        <w:rPr>
          <w:snapToGrid w:val="0"/>
          <w:lang w:val="fr-CA"/>
        </w:rPr>
        <w:t>Porteurs</w:t>
      </w:r>
      <w:r w:rsidR="000B08F2" w:rsidRPr="0059083D">
        <w:rPr>
          <w:snapToGrid w:val="0"/>
          <w:lang w:val="fr-CA"/>
        </w:rPr>
        <w:t xml:space="preserve"> </w:t>
      </w:r>
      <w:r w:rsidRPr="0059083D">
        <w:rPr>
          <w:snapToGrid w:val="0"/>
          <w:lang w:val="fr-CA"/>
        </w:rPr>
        <w:t xml:space="preserve">ont eu la possibilité d’inclure dans l’inscription et le placement tous les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qu’ils souhaitent inclure</w:t>
      </w:r>
      <w:r w:rsidR="000B08F2" w:rsidRPr="0059083D">
        <w:rPr>
          <w:snapToGrid w:val="0"/>
          <w:lang w:val="fr-CA"/>
        </w:rPr>
        <w:t>]</w:t>
      </w:r>
      <w:r w:rsidR="005C18CC">
        <w:rPr>
          <w:snapToGrid w:val="0"/>
          <w:lang w:val="fr-CA"/>
        </w:rPr>
        <w:t xml:space="preserve"> </w:t>
      </w:r>
      <w:r w:rsidR="000B08F2" w:rsidRPr="0059083D">
        <w:rPr>
          <w:snapToGrid w:val="0"/>
          <w:lang w:val="fr-CA"/>
        </w:rPr>
        <w:t>[(i)</w:t>
      </w:r>
      <w:r w:rsidRPr="0059083D">
        <w:rPr>
          <w:snapToGrid w:val="0"/>
          <w:lang w:val="fr-CA"/>
        </w:rPr>
        <w:t xml:space="preserve"> permettrait à ce porteur ou porteur </w:t>
      </w:r>
      <w:r w:rsidR="00A54421">
        <w:rPr>
          <w:snapToGrid w:val="0"/>
          <w:lang w:val="fr-CA"/>
        </w:rPr>
        <w:t xml:space="preserve">éventuel </w:t>
      </w:r>
      <w:r w:rsidRPr="0059083D">
        <w:rPr>
          <w:snapToGrid w:val="0"/>
          <w:lang w:val="fr-CA"/>
        </w:rPr>
        <w:t xml:space="preserve">d’inclure ces </w:t>
      </w:r>
      <w:r w:rsidR="007C4E71" w:rsidRPr="0059083D">
        <w:rPr>
          <w:snapToGrid w:val="0"/>
          <w:lang w:val="fr-CA"/>
        </w:rPr>
        <w:t>titres</w:t>
      </w:r>
      <w:r w:rsidR="000B08F2" w:rsidRPr="0059083D">
        <w:rPr>
          <w:snapToGrid w:val="0"/>
          <w:lang w:val="fr-CA"/>
        </w:rPr>
        <w:t xml:space="preserve"> </w:t>
      </w:r>
      <w:r w:rsidRPr="0059083D">
        <w:rPr>
          <w:snapToGrid w:val="0"/>
          <w:lang w:val="fr-CA"/>
        </w:rPr>
        <w:t xml:space="preserve">dans une inscription, à moins que, aux termes de la convention, ce porteur ou porteur </w:t>
      </w:r>
      <w:r w:rsidR="00A54421">
        <w:rPr>
          <w:snapToGrid w:val="0"/>
          <w:lang w:val="fr-CA"/>
        </w:rPr>
        <w:t xml:space="preserve">éventuel </w:t>
      </w:r>
      <w:r w:rsidRPr="0059083D">
        <w:rPr>
          <w:snapToGrid w:val="0"/>
          <w:lang w:val="fr-CA"/>
        </w:rPr>
        <w:t xml:space="preserve">ne puisse inclure ces titres dans </w:t>
      </w:r>
      <w:r w:rsidR="00532F0A">
        <w:rPr>
          <w:snapToGrid w:val="0"/>
          <w:lang w:val="fr-CA"/>
        </w:rPr>
        <w:t>l’</w:t>
      </w:r>
      <w:r w:rsidRPr="0059083D">
        <w:rPr>
          <w:snapToGrid w:val="0"/>
          <w:lang w:val="fr-CA"/>
        </w:rPr>
        <w:t xml:space="preserve">inscription uniquement dans la mesure où leur inclusion ne réduira pas le nombre de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des </w:t>
      </w:r>
      <w:r w:rsidR="00E043C9" w:rsidRPr="0059083D">
        <w:rPr>
          <w:snapToGrid w:val="0"/>
          <w:lang w:val="fr-CA"/>
        </w:rPr>
        <w:t>Porteurs</w:t>
      </w:r>
      <w:r w:rsidR="000B08F2" w:rsidRPr="0059083D">
        <w:rPr>
          <w:snapToGrid w:val="0"/>
          <w:lang w:val="fr-CA"/>
        </w:rPr>
        <w:t xml:space="preserve"> </w:t>
      </w:r>
      <w:r w:rsidRPr="0059083D">
        <w:rPr>
          <w:snapToGrid w:val="0"/>
          <w:lang w:val="fr-CA"/>
        </w:rPr>
        <w:t>qui sont inclus</w:t>
      </w:r>
      <w:r w:rsidR="000B08F2" w:rsidRPr="0059083D">
        <w:rPr>
          <w:snapToGrid w:val="0"/>
          <w:lang w:val="fr-CA"/>
        </w:rPr>
        <w:t>]; [</w:t>
      </w:r>
      <w:r w:rsidRPr="0059083D">
        <w:rPr>
          <w:snapToGrid w:val="0"/>
          <w:lang w:val="fr-CA"/>
        </w:rPr>
        <w:t>ou</w:t>
      </w:r>
      <w:r w:rsidR="000B08F2" w:rsidRPr="0059083D">
        <w:rPr>
          <w:snapToGrid w:val="0"/>
          <w:lang w:val="fr-CA"/>
        </w:rPr>
        <w:t xml:space="preserve"> </w:t>
      </w:r>
      <w:bookmarkStart w:id="181" w:name="DocXTextRef137"/>
      <w:r w:rsidR="000B08F2" w:rsidRPr="0059083D">
        <w:rPr>
          <w:snapToGrid w:val="0"/>
          <w:lang w:val="fr-CA"/>
        </w:rPr>
        <w:t>(</w:t>
      </w:r>
      <w:r w:rsidR="000B08F2" w:rsidRPr="00986BEB">
        <w:rPr>
          <w:snapToGrid w:val="0"/>
          <w:lang w:val="fr-CA"/>
        </w:rPr>
        <w:t>ii</w:t>
      </w:r>
      <w:r w:rsidR="000B08F2" w:rsidRPr="0059083D">
        <w:rPr>
          <w:snapToGrid w:val="0"/>
          <w:lang w:val="fr-CA"/>
        </w:rPr>
        <w:t>)</w:t>
      </w:r>
      <w:bookmarkEnd w:id="181"/>
      <w:r w:rsidRPr="0059083D">
        <w:rPr>
          <w:snapToGrid w:val="0"/>
          <w:lang w:val="fr-CA"/>
        </w:rPr>
        <w:t xml:space="preserve"> permettrait à ce porteur ou porteur </w:t>
      </w:r>
      <w:r w:rsidR="00A54421">
        <w:rPr>
          <w:snapToGrid w:val="0"/>
          <w:lang w:val="fr-CA"/>
        </w:rPr>
        <w:t xml:space="preserve">éventuel </w:t>
      </w:r>
      <w:r w:rsidRPr="0059083D">
        <w:rPr>
          <w:snapToGrid w:val="0"/>
          <w:lang w:val="fr-CA"/>
        </w:rPr>
        <w:t>de présenter une demande d’inscription de titres qu’il détient</w:t>
      </w:r>
      <w:r w:rsidR="000B08F2" w:rsidRPr="0059083D">
        <w:rPr>
          <w:snapToGrid w:val="0"/>
          <w:lang w:val="fr-CA"/>
        </w:rPr>
        <w:t xml:space="preserve">]; </w:t>
      </w:r>
      <w:r w:rsidRPr="0059083D">
        <w:rPr>
          <w:snapToGrid w:val="0"/>
          <w:lang w:val="fr-CA"/>
        </w:rPr>
        <w:t xml:space="preserve">toutefois, cette limitation ne s’applique pas aux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acquis par un Investisseur</w:t>
      </w:r>
      <w:r w:rsidR="000B08F2" w:rsidRPr="0059083D">
        <w:rPr>
          <w:snapToGrid w:val="0"/>
          <w:lang w:val="fr-CA"/>
        </w:rPr>
        <w:t xml:space="preserve"> </w:t>
      </w:r>
      <w:r w:rsidR="005C18CC">
        <w:rPr>
          <w:snapToGrid w:val="0"/>
          <w:lang w:val="fr-CA"/>
        </w:rPr>
        <w:t xml:space="preserve">supplémentaire </w:t>
      </w:r>
      <w:r w:rsidRPr="0059083D">
        <w:rPr>
          <w:snapToGrid w:val="0"/>
          <w:lang w:val="fr-CA"/>
        </w:rPr>
        <w:t xml:space="preserve">qui devient partie à </w:t>
      </w:r>
      <w:r w:rsidR="000B08F2" w:rsidRPr="0059083D">
        <w:rPr>
          <w:snapToGrid w:val="0"/>
          <w:lang w:val="fr-CA"/>
        </w:rPr>
        <w:t xml:space="preserve">la présente Convention </w:t>
      </w:r>
      <w:r w:rsidRPr="0059083D">
        <w:rPr>
          <w:snapToGrid w:val="0"/>
          <w:lang w:val="fr-CA"/>
        </w:rPr>
        <w:t xml:space="preserve">conformément au </w:t>
      </w:r>
      <w:r w:rsidR="002A0F83" w:rsidRPr="0059083D">
        <w:rPr>
          <w:snapToGrid w:val="0"/>
          <w:szCs w:val="16"/>
          <w:u w:val="single"/>
          <w:lang w:val="fr-CA"/>
        </w:rPr>
        <w:t>paragraphe </w:t>
      </w:r>
      <w:r w:rsidR="005C18CC" w:rsidRPr="00986BEB">
        <w:rPr>
          <w:snapToGrid w:val="0"/>
          <w:szCs w:val="16"/>
          <w:u w:val="single"/>
          <w:lang w:val="fr-CA"/>
        </w:rPr>
        <w:fldChar w:fldCharType="begin"/>
      </w:r>
      <w:r w:rsidR="005C18CC" w:rsidRPr="00986BEB">
        <w:rPr>
          <w:snapToGrid w:val="0"/>
          <w:szCs w:val="16"/>
          <w:u w:val="single"/>
          <w:lang w:val="fr-CA"/>
        </w:rPr>
        <w:instrText xml:space="preserve"> REF _Ref118377528 \r \h </w:instrText>
      </w:r>
      <w:r w:rsidR="005C18CC" w:rsidRPr="00986BEB">
        <w:rPr>
          <w:snapToGrid w:val="0"/>
          <w:szCs w:val="16"/>
          <w:u w:val="single"/>
          <w:lang w:val="fr-CA"/>
        </w:rPr>
      </w:r>
      <w:r w:rsidR="005C18CC" w:rsidRPr="00986BEB">
        <w:rPr>
          <w:snapToGrid w:val="0"/>
          <w:szCs w:val="16"/>
          <w:u w:val="single"/>
          <w:lang w:val="fr-CA"/>
        </w:rPr>
        <w:fldChar w:fldCharType="separate"/>
      </w:r>
      <w:r w:rsidR="00AE1D96">
        <w:rPr>
          <w:snapToGrid w:val="0"/>
          <w:szCs w:val="16"/>
          <w:u w:val="single"/>
          <w:lang w:val="fr-CA"/>
        </w:rPr>
        <w:t>6.9</w:t>
      </w:r>
      <w:r w:rsidR="005C18CC" w:rsidRPr="00986BEB">
        <w:rPr>
          <w:snapToGrid w:val="0"/>
          <w:szCs w:val="16"/>
          <w:u w:val="single"/>
          <w:lang w:val="fr-CA"/>
        </w:rPr>
        <w:fldChar w:fldCharType="end"/>
      </w:r>
      <w:bookmarkStart w:id="182" w:name="_Ref448380697"/>
      <w:r w:rsidR="000B08F2" w:rsidRPr="00986BEB">
        <w:rPr>
          <w:rStyle w:val="FootnoteReference"/>
          <w:snapToGrid w:val="0"/>
          <w:color w:val="000000"/>
          <w:szCs w:val="16"/>
          <w:lang w:val="fr-CA"/>
        </w:rPr>
        <w:footnoteReference w:id="28"/>
      </w:r>
      <w:bookmarkEnd w:id="182"/>
      <w:r w:rsidRPr="0059083D">
        <w:rPr>
          <w:snapToGrid w:val="0"/>
          <w:szCs w:val="16"/>
          <w:lang w:val="fr-CA"/>
        </w:rPr>
        <w:t>.</w:t>
      </w:r>
    </w:p>
    <w:p w14:paraId="18189E35" w14:textId="33BED1BB" w:rsidR="00037C7E" w:rsidRPr="00986BEB" w:rsidRDefault="000F37C7">
      <w:pPr>
        <w:pStyle w:val="StandardL2"/>
        <w:rPr>
          <w:lang w:val="fr-CA"/>
        </w:rPr>
      </w:pPr>
      <w:bookmarkStart w:id="183" w:name="_Ref448380587"/>
      <w:bookmarkStart w:id="184" w:name="_Toc132874727"/>
      <w:r w:rsidRPr="0059083D">
        <w:rPr>
          <w:lang w:val="fr-CA"/>
        </w:rPr>
        <w:t xml:space="preserve">Convention de </w:t>
      </w:r>
      <w:r w:rsidR="000B08F2" w:rsidRPr="0059083D">
        <w:rPr>
          <w:lang w:val="fr-CA"/>
        </w:rPr>
        <w:t>« </w:t>
      </w:r>
      <w:r w:rsidRPr="0059083D">
        <w:rPr>
          <w:lang w:val="fr-CA"/>
        </w:rPr>
        <w:t>restriction de la négociation sur le marché</w:t>
      </w:r>
      <w:r w:rsidR="000B08F2" w:rsidRPr="0059083D">
        <w:rPr>
          <w:lang w:val="fr-CA"/>
        </w:rPr>
        <w:t> »</w:t>
      </w:r>
      <w:bookmarkStart w:id="185" w:name="_Ref448380698"/>
      <w:r w:rsidR="000B08F2" w:rsidRPr="00986BEB">
        <w:rPr>
          <w:rStyle w:val="FootnoteReference"/>
          <w:snapToGrid w:val="0"/>
          <w:lang w:val="fr-CA"/>
        </w:rPr>
        <w:footnoteReference w:id="29"/>
      </w:r>
      <w:bookmarkEnd w:id="183"/>
      <w:bookmarkEnd w:id="185"/>
      <w:r w:rsidRPr="0059083D">
        <w:rPr>
          <w:lang w:val="fr-CA"/>
        </w:rPr>
        <w:t>.</w:t>
      </w:r>
      <w:bookmarkEnd w:id="184"/>
    </w:p>
    <w:p w14:paraId="037A1FDD" w14:textId="5ABEEEB7" w:rsidR="00037C7E" w:rsidRPr="0059083D" w:rsidRDefault="000F37C7" w:rsidP="000F37C7">
      <w:pPr>
        <w:pStyle w:val="StandardCont2"/>
        <w:rPr>
          <w:lang w:val="fr-CA"/>
        </w:rPr>
      </w:pPr>
      <w:r w:rsidRPr="0059083D">
        <w:rPr>
          <w:snapToGrid w:val="0"/>
          <w:szCs w:val="16"/>
          <w:lang w:val="fr-CA"/>
        </w:rPr>
        <w:t xml:space="preserve">Chaque </w:t>
      </w:r>
      <w:r w:rsidR="0006561D" w:rsidRPr="0059083D">
        <w:rPr>
          <w:snapToGrid w:val="0"/>
          <w:szCs w:val="16"/>
          <w:lang w:val="fr-CA"/>
        </w:rPr>
        <w:t>Porteur</w:t>
      </w:r>
      <w:r w:rsidR="000B08F2" w:rsidRPr="0059083D">
        <w:rPr>
          <w:snapToGrid w:val="0"/>
          <w:szCs w:val="16"/>
          <w:lang w:val="fr-CA"/>
        </w:rPr>
        <w:t xml:space="preserve"> </w:t>
      </w:r>
      <w:r w:rsidRPr="0059083D">
        <w:rPr>
          <w:snapToGrid w:val="0"/>
          <w:szCs w:val="16"/>
          <w:lang w:val="fr-CA"/>
        </w:rPr>
        <w:t>s’engage par les présentes à s’abstenir de faire ce qui suit, sans le consentement préalable écrit</w:t>
      </w:r>
      <w:r w:rsidR="000B08F2" w:rsidRPr="0059083D">
        <w:rPr>
          <w:snapToGrid w:val="0"/>
          <w:szCs w:val="16"/>
          <w:lang w:val="fr-CA"/>
        </w:rPr>
        <w:t xml:space="preserve"> </w:t>
      </w:r>
      <w:r w:rsidRPr="0059083D">
        <w:rPr>
          <w:snapToGrid w:val="0"/>
          <w:szCs w:val="16"/>
          <w:lang w:val="fr-CA"/>
        </w:rPr>
        <w:t>du preneur ferme chef de file</w:t>
      </w:r>
      <w:r w:rsidR="000B08F2" w:rsidRPr="0059083D">
        <w:rPr>
          <w:snapToGrid w:val="0"/>
          <w:szCs w:val="16"/>
          <w:lang w:val="fr-CA"/>
        </w:rPr>
        <w:t xml:space="preserve">, </w:t>
      </w:r>
      <w:r w:rsidRPr="0059083D">
        <w:rPr>
          <w:snapToGrid w:val="0"/>
          <w:szCs w:val="16"/>
          <w:lang w:val="fr-CA"/>
        </w:rPr>
        <w:t xml:space="preserve">pendant la période commençant à la </w:t>
      </w:r>
      <w:r w:rsidR="000B08F2" w:rsidRPr="0059083D">
        <w:rPr>
          <w:snapToGrid w:val="0"/>
          <w:szCs w:val="16"/>
          <w:lang w:val="fr-CA"/>
        </w:rPr>
        <w:t xml:space="preserve">date </w:t>
      </w:r>
      <w:r w:rsidRPr="0059083D">
        <w:rPr>
          <w:snapToGrid w:val="0"/>
          <w:szCs w:val="16"/>
          <w:lang w:val="fr-CA"/>
        </w:rPr>
        <w:t xml:space="preserve">du </w:t>
      </w:r>
      <w:r w:rsidR="000B08F2" w:rsidRPr="0059083D">
        <w:rPr>
          <w:snapToGrid w:val="0"/>
          <w:szCs w:val="16"/>
          <w:lang w:val="fr-CA"/>
        </w:rPr>
        <w:t xml:space="preserve">prospectus </w:t>
      </w:r>
      <w:r w:rsidRPr="0059083D">
        <w:rPr>
          <w:snapToGrid w:val="0"/>
          <w:szCs w:val="16"/>
          <w:lang w:val="fr-CA"/>
        </w:rPr>
        <w:t xml:space="preserve">définitif relatif à l’inscription par </w:t>
      </w:r>
      <w:r w:rsidR="000B08F2" w:rsidRPr="0059083D">
        <w:rPr>
          <w:snapToGrid w:val="0"/>
          <w:szCs w:val="16"/>
          <w:lang w:val="fr-CA"/>
        </w:rPr>
        <w:t>la Société [</w:t>
      </w:r>
      <w:r w:rsidRPr="0059083D">
        <w:rPr>
          <w:snapToGrid w:val="0"/>
          <w:szCs w:val="16"/>
          <w:lang w:val="fr-CA"/>
        </w:rPr>
        <w:t>pour son propre compte</w:t>
      </w:r>
      <w:r w:rsidR="000B08F2" w:rsidRPr="0059083D">
        <w:rPr>
          <w:snapToGrid w:val="0"/>
          <w:szCs w:val="16"/>
          <w:lang w:val="fr-CA"/>
        </w:rPr>
        <w:t xml:space="preserve">] </w:t>
      </w:r>
      <w:r w:rsidRPr="0059083D">
        <w:rPr>
          <w:snapToGrid w:val="0"/>
          <w:szCs w:val="16"/>
          <w:lang w:val="fr-CA"/>
        </w:rPr>
        <w:t xml:space="preserve">de ses </w:t>
      </w:r>
      <w:r w:rsidR="000B08F2" w:rsidRPr="0059083D">
        <w:rPr>
          <w:snapToGrid w:val="0"/>
          <w:szCs w:val="16"/>
          <w:lang w:val="fr-CA"/>
        </w:rPr>
        <w:t xml:space="preserve">Actions ordinaires </w:t>
      </w:r>
      <w:r w:rsidRPr="0059083D">
        <w:rPr>
          <w:snapToGrid w:val="0"/>
          <w:szCs w:val="16"/>
          <w:lang w:val="fr-CA"/>
        </w:rPr>
        <w:t xml:space="preserve">ou d’autres titres de capitaux propres en vertu de </w:t>
      </w:r>
      <w:r w:rsidR="00F52467" w:rsidRPr="0059083D">
        <w:rPr>
          <w:snapToGrid w:val="0"/>
          <w:szCs w:val="16"/>
          <w:lang w:val="fr-CA"/>
        </w:rPr>
        <w:t xml:space="preserve">la Loi de </w:t>
      </w:r>
      <w:r w:rsidR="00F52467" w:rsidRPr="00986BEB">
        <w:rPr>
          <w:snapToGrid w:val="0"/>
          <w:szCs w:val="16"/>
          <w:lang w:val="fr-CA"/>
        </w:rPr>
        <w:t>1933</w:t>
      </w:r>
      <w:r w:rsidR="000B08F2" w:rsidRPr="0059083D">
        <w:rPr>
          <w:snapToGrid w:val="0"/>
          <w:szCs w:val="16"/>
          <w:lang w:val="fr-CA"/>
        </w:rPr>
        <w:t xml:space="preserve"> </w:t>
      </w:r>
      <w:r w:rsidRPr="0059083D">
        <w:rPr>
          <w:snapToGrid w:val="0"/>
          <w:szCs w:val="16"/>
          <w:lang w:val="fr-CA"/>
        </w:rPr>
        <w:t xml:space="preserve">aux termes d’une </w:t>
      </w:r>
      <w:r w:rsidR="002A0F83" w:rsidRPr="0059083D">
        <w:rPr>
          <w:snapToGrid w:val="0"/>
          <w:szCs w:val="16"/>
          <w:lang w:val="fr-CA"/>
        </w:rPr>
        <w:t>déclaration d’inscription</w:t>
      </w:r>
      <w:r w:rsidR="00CB6909" w:rsidRPr="0059083D">
        <w:rPr>
          <w:snapToGrid w:val="0"/>
          <w:szCs w:val="16"/>
          <w:lang w:val="fr-CA"/>
        </w:rPr>
        <w:t xml:space="preserve"> [</w:t>
      </w:r>
      <w:r w:rsidRPr="0059083D">
        <w:rPr>
          <w:snapToGrid w:val="0"/>
          <w:szCs w:val="16"/>
          <w:lang w:val="fr-CA"/>
        </w:rPr>
        <w:t xml:space="preserve">sur </w:t>
      </w:r>
      <w:r w:rsidR="00F52467" w:rsidRPr="0059083D">
        <w:rPr>
          <w:snapToGrid w:val="0"/>
          <w:szCs w:val="16"/>
          <w:lang w:val="fr-CA"/>
        </w:rPr>
        <w:t>Formulaire S-</w:t>
      </w:r>
      <w:r w:rsidR="00F52467" w:rsidRPr="00986BEB">
        <w:rPr>
          <w:snapToGrid w:val="0"/>
          <w:szCs w:val="16"/>
          <w:lang w:val="fr-CA"/>
        </w:rPr>
        <w:t>1</w:t>
      </w:r>
      <w:r w:rsidR="00CB6909" w:rsidRPr="0059083D">
        <w:rPr>
          <w:snapToGrid w:val="0"/>
          <w:szCs w:val="16"/>
          <w:lang w:val="fr-CA"/>
        </w:rPr>
        <w:t xml:space="preserve">, </w:t>
      </w:r>
      <w:r w:rsidR="00F52467" w:rsidRPr="0059083D">
        <w:rPr>
          <w:snapToGrid w:val="0"/>
          <w:szCs w:val="16"/>
          <w:lang w:val="fr-CA"/>
        </w:rPr>
        <w:t>Formulaire F-</w:t>
      </w:r>
      <w:r w:rsidR="00F52467" w:rsidRPr="00986BEB">
        <w:rPr>
          <w:snapToGrid w:val="0"/>
          <w:szCs w:val="16"/>
          <w:lang w:val="fr-CA"/>
        </w:rPr>
        <w:t>1</w:t>
      </w:r>
      <w:r w:rsidR="00CB6909" w:rsidRPr="0059083D">
        <w:rPr>
          <w:snapToGrid w:val="0"/>
          <w:szCs w:val="16"/>
          <w:lang w:val="fr-CA"/>
        </w:rPr>
        <w:t xml:space="preserve">, </w:t>
      </w:r>
      <w:r w:rsidR="00F52467" w:rsidRPr="0059083D">
        <w:rPr>
          <w:snapToGrid w:val="0"/>
          <w:szCs w:val="16"/>
          <w:lang w:val="fr-CA"/>
        </w:rPr>
        <w:t>Formulaire S-</w:t>
      </w:r>
      <w:r w:rsidR="00F52467" w:rsidRPr="00986BEB">
        <w:rPr>
          <w:snapToGrid w:val="0"/>
          <w:szCs w:val="16"/>
          <w:lang w:val="fr-CA"/>
        </w:rPr>
        <w:t>3</w:t>
      </w:r>
      <w:r w:rsidR="00CB6909" w:rsidRPr="0059083D">
        <w:rPr>
          <w:snapToGrid w:val="0"/>
          <w:szCs w:val="16"/>
          <w:lang w:val="fr-CA"/>
        </w:rPr>
        <w:t xml:space="preserve"> </w:t>
      </w:r>
      <w:r w:rsidRPr="0059083D">
        <w:rPr>
          <w:snapToGrid w:val="0"/>
          <w:szCs w:val="16"/>
          <w:lang w:val="fr-CA"/>
        </w:rPr>
        <w:t>ou</w:t>
      </w:r>
      <w:r w:rsidR="00CB6909" w:rsidRPr="0059083D">
        <w:rPr>
          <w:snapToGrid w:val="0"/>
          <w:szCs w:val="16"/>
          <w:lang w:val="fr-CA"/>
        </w:rPr>
        <w:t xml:space="preserve"> </w:t>
      </w:r>
      <w:r w:rsidR="00F52467" w:rsidRPr="0059083D">
        <w:rPr>
          <w:snapToGrid w:val="0"/>
          <w:szCs w:val="16"/>
          <w:lang w:val="fr-CA"/>
        </w:rPr>
        <w:t>Formulaire F-</w:t>
      </w:r>
      <w:r w:rsidR="00F52467" w:rsidRPr="00986BEB">
        <w:rPr>
          <w:snapToGrid w:val="0"/>
          <w:szCs w:val="16"/>
          <w:lang w:val="fr-CA"/>
        </w:rPr>
        <w:t>3</w:t>
      </w:r>
      <w:r w:rsidR="00CB6909" w:rsidRPr="0059083D">
        <w:rPr>
          <w:snapToGrid w:val="0"/>
          <w:szCs w:val="16"/>
          <w:lang w:val="fr-CA"/>
        </w:rPr>
        <w:t xml:space="preserve"> </w:t>
      </w:r>
      <w:r w:rsidRPr="0059083D">
        <w:rPr>
          <w:snapToGrid w:val="0"/>
          <w:szCs w:val="16"/>
          <w:lang w:val="fr-CA"/>
        </w:rPr>
        <w:t xml:space="preserve">ou en vertu des </w:t>
      </w:r>
      <w:r w:rsidR="0006561D" w:rsidRPr="0059083D">
        <w:rPr>
          <w:snapToGrid w:val="0"/>
          <w:szCs w:val="16"/>
          <w:lang w:val="fr-CA"/>
        </w:rPr>
        <w:t>Lois sur les valeurs mobilières canadiennes</w:t>
      </w:r>
      <w:r w:rsidR="00CB6909" w:rsidRPr="0059083D">
        <w:rPr>
          <w:snapToGrid w:val="0"/>
          <w:szCs w:val="16"/>
          <w:lang w:val="fr-CA"/>
        </w:rPr>
        <w:t xml:space="preserve">] </w:t>
      </w:r>
      <w:r w:rsidRPr="0059083D">
        <w:rPr>
          <w:snapToGrid w:val="0"/>
          <w:szCs w:val="16"/>
          <w:lang w:val="fr-CA"/>
        </w:rPr>
        <w:t xml:space="preserve">et se terminant à la date fixée par </w:t>
      </w:r>
      <w:r w:rsidR="000B08F2" w:rsidRPr="0059083D">
        <w:rPr>
          <w:snapToGrid w:val="0"/>
          <w:szCs w:val="16"/>
          <w:lang w:val="fr-CA"/>
        </w:rPr>
        <w:t>la Société</w:t>
      </w:r>
      <w:r w:rsidR="00CB6909" w:rsidRPr="0059083D">
        <w:rPr>
          <w:snapToGrid w:val="0"/>
          <w:szCs w:val="16"/>
          <w:lang w:val="fr-CA"/>
        </w:rPr>
        <w:t xml:space="preserve"> </w:t>
      </w:r>
      <w:r w:rsidRPr="0059083D">
        <w:rPr>
          <w:snapToGrid w:val="0"/>
          <w:szCs w:val="16"/>
          <w:lang w:val="fr-CA"/>
        </w:rPr>
        <w:t xml:space="preserve">et le preneur ferme chef de file </w:t>
      </w:r>
      <w:r w:rsidR="00CB6909" w:rsidRPr="0059083D">
        <w:rPr>
          <w:snapToGrid w:val="0"/>
          <w:szCs w:val="16"/>
          <w:lang w:val="fr-CA"/>
        </w:rPr>
        <w:t>(</w:t>
      </w:r>
      <w:r w:rsidRPr="0059083D">
        <w:rPr>
          <w:snapToGrid w:val="0"/>
          <w:szCs w:val="16"/>
          <w:lang w:val="fr-CA"/>
        </w:rPr>
        <w:t>cette période ne devant pas dépasser cent quatre</w:t>
      </w:r>
      <w:r w:rsidR="00532F0A">
        <w:rPr>
          <w:snapToGrid w:val="0"/>
          <w:szCs w:val="16"/>
          <w:lang w:val="fr-CA"/>
        </w:rPr>
        <w:noBreakHyphen/>
      </w:r>
      <w:r w:rsidRPr="0059083D">
        <w:rPr>
          <w:snapToGrid w:val="0"/>
          <w:szCs w:val="16"/>
          <w:lang w:val="fr-CA"/>
        </w:rPr>
        <w:t>vingts </w:t>
      </w:r>
      <w:r w:rsidR="00CB6909" w:rsidRPr="0059083D">
        <w:rPr>
          <w:snapToGrid w:val="0"/>
          <w:szCs w:val="16"/>
          <w:lang w:val="fr-CA"/>
        </w:rPr>
        <w:t>(</w:t>
      </w:r>
      <w:r w:rsidR="00CB6909" w:rsidRPr="00986BEB">
        <w:rPr>
          <w:snapToGrid w:val="0"/>
          <w:szCs w:val="16"/>
          <w:lang w:val="fr-CA"/>
        </w:rPr>
        <w:t>180</w:t>
      </w:r>
      <w:r w:rsidR="00CB6909" w:rsidRPr="0059083D">
        <w:rPr>
          <w:snapToGrid w:val="0"/>
          <w:szCs w:val="16"/>
          <w:lang w:val="fr-CA"/>
        </w:rPr>
        <w:t>)</w:t>
      </w:r>
      <w:r w:rsidRPr="0059083D">
        <w:rPr>
          <w:snapToGrid w:val="0"/>
          <w:szCs w:val="16"/>
          <w:lang w:val="fr-CA"/>
        </w:rPr>
        <w:t> jours dans le cas du PAPE</w:t>
      </w:r>
      <w:r w:rsidR="00CB6909" w:rsidRPr="0059083D">
        <w:rPr>
          <w:snapToGrid w:val="0"/>
          <w:szCs w:val="16"/>
          <w:lang w:val="fr-CA"/>
        </w:rPr>
        <w:t xml:space="preserve"> [</w:t>
      </w:r>
      <w:r w:rsidRPr="0059083D">
        <w:rPr>
          <w:snapToGrid w:val="0"/>
          <w:szCs w:val="16"/>
          <w:lang w:val="fr-CA"/>
        </w:rPr>
        <w:t>ou quatre-vingt-dix </w:t>
      </w:r>
      <w:r w:rsidR="00CB6909" w:rsidRPr="0059083D">
        <w:rPr>
          <w:snapToGrid w:val="0"/>
          <w:szCs w:val="16"/>
          <w:lang w:val="fr-CA"/>
        </w:rPr>
        <w:t>(</w:t>
      </w:r>
      <w:r w:rsidR="00CB6909" w:rsidRPr="00986BEB">
        <w:rPr>
          <w:snapToGrid w:val="0"/>
          <w:szCs w:val="16"/>
          <w:lang w:val="fr-CA"/>
        </w:rPr>
        <w:t>90</w:t>
      </w:r>
      <w:r w:rsidR="00CB6909" w:rsidRPr="0059083D">
        <w:rPr>
          <w:snapToGrid w:val="0"/>
          <w:szCs w:val="16"/>
          <w:lang w:val="fr-CA"/>
        </w:rPr>
        <w:t>)</w:t>
      </w:r>
      <w:r w:rsidRPr="0059083D">
        <w:rPr>
          <w:snapToGrid w:val="0"/>
          <w:szCs w:val="16"/>
          <w:lang w:val="fr-CA"/>
        </w:rPr>
        <w:t xml:space="preserve"> jours dans le cas d’une inscription </w:t>
      </w:r>
      <w:r w:rsidR="00AD346F">
        <w:rPr>
          <w:snapToGrid w:val="0"/>
          <w:szCs w:val="16"/>
          <w:lang w:val="fr-CA"/>
        </w:rPr>
        <w:t xml:space="preserve">dans un autre contexte que le </w:t>
      </w:r>
      <w:r w:rsidRPr="0059083D">
        <w:rPr>
          <w:snapToGrid w:val="0"/>
          <w:szCs w:val="16"/>
          <w:lang w:val="fr-CA"/>
        </w:rPr>
        <w:t>PAPE</w:t>
      </w:r>
      <w:bookmarkStart w:id="186" w:name="_Ref55162647"/>
      <w:r w:rsidR="000B08F2" w:rsidRPr="00986BEB">
        <w:rPr>
          <w:rStyle w:val="FootnoteReference"/>
          <w:snapToGrid w:val="0"/>
          <w:szCs w:val="16"/>
          <w:lang w:val="fr-CA"/>
        </w:rPr>
        <w:footnoteReference w:id="30"/>
      </w:r>
      <w:bookmarkEnd w:id="186"/>
      <w:r w:rsidR="00AD346F" w:rsidRPr="0059083D">
        <w:rPr>
          <w:snapToGrid w:val="0"/>
          <w:szCs w:val="16"/>
          <w:lang w:val="fr-CA"/>
        </w:rPr>
        <w:t>]</w:t>
      </w:r>
      <w:r w:rsidR="000B08F2" w:rsidRPr="0059083D">
        <w:rPr>
          <w:snapToGrid w:val="0"/>
          <w:szCs w:val="16"/>
          <w:lang w:val="fr-CA"/>
        </w:rPr>
        <w:t xml:space="preserve">[, </w:t>
      </w:r>
      <w:r w:rsidRPr="0059083D">
        <w:rPr>
          <w:snapToGrid w:val="0"/>
          <w:szCs w:val="16"/>
          <w:lang w:val="fr-CA"/>
        </w:rPr>
        <w:t xml:space="preserve">ou une autre période que peut demander </w:t>
      </w:r>
      <w:r w:rsidR="000B08F2" w:rsidRPr="0059083D">
        <w:rPr>
          <w:snapToGrid w:val="0"/>
          <w:szCs w:val="16"/>
          <w:lang w:val="fr-CA"/>
        </w:rPr>
        <w:t xml:space="preserve">la Société </w:t>
      </w:r>
      <w:r w:rsidRPr="0059083D">
        <w:rPr>
          <w:snapToGrid w:val="0"/>
          <w:szCs w:val="16"/>
          <w:lang w:val="fr-CA"/>
        </w:rPr>
        <w:t xml:space="preserve">ou un preneur ferme en raison de restrictions réglementaires concernant </w:t>
      </w:r>
      <w:bookmarkStart w:id="187" w:name="DocXTextRef145"/>
      <w:r w:rsidR="000B08F2" w:rsidRPr="0059083D">
        <w:rPr>
          <w:snapToGrid w:val="0"/>
          <w:szCs w:val="16"/>
          <w:lang w:val="fr-CA"/>
        </w:rPr>
        <w:t>(</w:t>
      </w:r>
      <w:r w:rsidR="000B08F2" w:rsidRPr="00986BEB">
        <w:rPr>
          <w:snapToGrid w:val="0"/>
          <w:szCs w:val="16"/>
          <w:lang w:val="fr-CA"/>
        </w:rPr>
        <w:t>1</w:t>
      </w:r>
      <w:r w:rsidR="000B08F2" w:rsidRPr="0059083D">
        <w:rPr>
          <w:snapToGrid w:val="0"/>
          <w:szCs w:val="16"/>
          <w:lang w:val="fr-CA"/>
        </w:rPr>
        <w:t>)</w:t>
      </w:r>
      <w:bookmarkEnd w:id="187"/>
      <w:r w:rsidRPr="0059083D">
        <w:rPr>
          <w:snapToGrid w:val="0"/>
          <w:szCs w:val="16"/>
          <w:lang w:val="fr-CA"/>
        </w:rPr>
        <w:t> la publication ou une autre forme de distribution de rapports de recherche</w:t>
      </w:r>
      <w:bookmarkStart w:id="188" w:name="DocXTextRef146"/>
      <w:r w:rsidRPr="0059083D">
        <w:rPr>
          <w:snapToGrid w:val="0"/>
          <w:szCs w:val="16"/>
          <w:lang w:val="fr-CA"/>
        </w:rPr>
        <w:t xml:space="preserve"> et </w:t>
      </w:r>
      <w:r w:rsidR="000B08F2" w:rsidRPr="0059083D">
        <w:rPr>
          <w:snapToGrid w:val="0"/>
          <w:szCs w:val="16"/>
          <w:lang w:val="fr-CA"/>
        </w:rPr>
        <w:t>(</w:t>
      </w:r>
      <w:r w:rsidR="000B08F2" w:rsidRPr="00986BEB">
        <w:rPr>
          <w:snapToGrid w:val="0"/>
          <w:szCs w:val="16"/>
          <w:lang w:val="fr-CA"/>
        </w:rPr>
        <w:t>2</w:t>
      </w:r>
      <w:r w:rsidR="000B08F2" w:rsidRPr="0059083D">
        <w:rPr>
          <w:snapToGrid w:val="0"/>
          <w:szCs w:val="16"/>
          <w:lang w:val="fr-CA"/>
        </w:rPr>
        <w:t>)</w:t>
      </w:r>
      <w:bookmarkEnd w:id="188"/>
      <w:r w:rsidRPr="0059083D">
        <w:rPr>
          <w:snapToGrid w:val="0"/>
          <w:szCs w:val="16"/>
          <w:lang w:val="fr-CA"/>
        </w:rPr>
        <w:t> les recommandations et avis des analystes</w:t>
      </w:r>
      <w:r w:rsidR="000B08F2" w:rsidRPr="0059083D">
        <w:rPr>
          <w:snapToGrid w:val="0"/>
          <w:szCs w:val="16"/>
          <w:lang w:val="fr-CA"/>
        </w:rPr>
        <w:t xml:space="preserve">, </w:t>
      </w:r>
      <w:r w:rsidRPr="0059083D">
        <w:rPr>
          <w:snapToGrid w:val="0"/>
          <w:szCs w:val="16"/>
          <w:lang w:val="fr-CA"/>
        </w:rPr>
        <w:t xml:space="preserve">notamment les restrictions prévues dans les règles de la </w:t>
      </w:r>
      <w:r w:rsidR="000B08F2" w:rsidRPr="0059083D">
        <w:rPr>
          <w:snapToGrid w:val="0"/>
          <w:szCs w:val="16"/>
          <w:lang w:val="fr-CA"/>
        </w:rPr>
        <w:t xml:space="preserve">FINRA </w:t>
      </w:r>
      <w:r w:rsidRPr="0059083D">
        <w:rPr>
          <w:snapToGrid w:val="0"/>
          <w:szCs w:val="16"/>
          <w:lang w:val="fr-CA"/>
        </w:rPr>
        <w:t xml:space="preserve">applicables ou </w:t>
      </w:r>
      <w:r w:rsidR="00AD346F">
        <w:rPr>
          <w:snapToGrid w:val="0"/>
          <w:szCs w:val="16"/>
          <w:lang w:val="fr-CA"/>
        </w:rPr>
        <w:t xml:space="preserve">toute </w:t>
      </w:r>
      <w:r w:rsidRPr="0059083D">
        <w:rPr>
          <w:snapToGrid w:val="0"/>
          <w:szCs w:val="16"/>
          <w:lang w:val="fr-CA"/>
        </w:rPr>
        <w:t xml:space="preserve">disposition qui les remplace ou </w:t>
      </w:r>
      <w:r w:rsidR="00AD346F">
        <w:rPr>
          <w:snapToGrid w:val="0"/>
          <w:szCs w:val="16"/>
          <w:lang w:val="fr-CA"/>
        </w:rPr>
        <w:t xml:space="preserve">toute </w:t>
      </w:r>
      <w:r w:rsidRPr="0059083D">
        <w:rPr>
          <w:snapToGrid w:val="0"/>
          <w:szCs w:val="16"/>
          <w:lang w:val="fr-CA"/>
        </w:rPr>
        <w:t>modifications de celles-ci</w:t>
      </w:r>
      <w:r w:rsidR="000B08F2" w:rsidRPr="0059083D">
        <w:rPr>
          <w:snapToGrid w:val="0"/>
          <w:szCs w:val="16"/>
          <w:lang w:val="fr-CA"/>
        </w:rPr>
        <w:t>]</w:t>
      </w:r>
      <w:r w:rsidRPr="0059083D">
        <w:rPr>
          <w:snapToGrid w:val="0"/>
          <w:szCs w:val="16"/>
          <w:lang w:val="fr-CA"/>
        </w:rPr>
        <w:t> :</w:t>
      </w:r>
      <w:r w:rsidR="000B08F2" w:rsidRPr="0059083D">
        <w:rPr>
          <w:snapToGrid w:val="0"/>
          <w:szCs w:val="16"/>
          <w:lang w:val="fr-CA"/>
        </w:rPr>
        <w:t xml:space="preserve"> </w:t>
      </w:r>
      <w:bookmarkStart w:id="189" w:name="DocXTextRef148"/>
      <w:r w:rsidR="000B08F2" w:rsidRPr="0059083D">
        <w:rPr>
          <w:snapToGrid w:val="0"/>
          <w:lang w:val="fr-CA"/>
        </w:rPr>
        <w:t>(</w:t>
      </w:r>
      <w:r w:rsidR="000B08F2" w:rsidRPr="00986BEB">
        <w:rPr>
          <w:snapToGrid w:val="0"/>
          <w:lang w:val="fr-CA"/>
        </w:rPr>
        <w:t>i</w:t>
      </w:r>
      <w:r w:rsidR="000B08F2" w:rsidRPr="0059083D">
        <w:rPr>
          <w:snapToGrid w:val="0"/>
          <w:lang w:val="fr-CA"/>
        </w:rPr>
        <w:t>)</w:t>
      </w:r>
      <w:bookmarkEnd w:id="189"/>
      <w:r w:rsidRPr="0059083D">
        <w:rPr>
          <w:snapToGrid w:val="0"/>
          <w:lang w:val="fr-CA"/>
        </w:rPr>
        <w:t xml:space="preserve"> prêter, offrir, donner en gage, vendre, s’engager contractuellement à vendre, vendre une option </w:t>
      </w:r>
      <w:r w:rsidRPr="00D31EBB">
        <w:rPr>
          <w:snapToGrid w:val="0"/>
          <w:lang w:val="fr-CA"/>
        </w:rPr>
        <w:t>en vue d’acheter</w:t>
      </w:r>
      <w:r w:rsidRPr="0059083D">
        <w:rPr>
          <w:snapToGrid w:val="0"/>
          <w:lang w:val="fr-CA"/>
        </w:rPr>
        <w:t xml:space="preserve"> ou s’engager contractuellement à acheter, acheter une </w:t>
      </w:r>
      <w:r w:rsidRPr="00D31EBB">
        <w:rPr>
          <w:snapToGrid w:val="0"/>
          <w:lang w:val="fr-CA"/>
        </w:rPr>
        <w:t>option en vue de vendre</w:t>
      </w:r>
      <w:r w:rsidRPr="0059083D">
        <w:rPr>
          <w:snapToGrid w:val="0"/>
          <w:lang w:val="fr-CA"/>
        </w:rPr>
        <w:t xml:space="preserve"> ou s’engager contractuellement à vendre, attribuer une option, un droit ou un bon de souscription permettant d’acheter, ou transférer ou aliéner </w:t>
      </w:r>
      <w:r w:rsidR="00AD346F">
        <w:rPr>
          <w:snapToGrid w:val="0"/>
          <w:lang w:val="fr-CA"/>
        </w:rPr>
        <w:t>autrement</w:t>
      </w:r>
      <w:r w:rsidRPr="0059083D">
        <w:rPr>
          <w:snapToGrid w:val="0"/>
          <w:lang w:val="fr-CA"/>
        </w:rPr>
        <w:t xml:space="preserve">, directement ou indirectement, des Actions ordinaires ou des titres dont la conversion, l’exercice ou l’échange permet d’obtenir </w:t>
      </w:r>
      <w:r w:rsidR="000B08F2" w:rsidRPr="0059083D">
        <w:rPr>
          <w:snapToGrid w:val="0"/>
          <w:lang w:val="fr-CA"/>
        </w:rPr>
        <w:t>(</w:t>
      </w:r>
      <w:r w:rsidR="002A0F83" w:rsidRPr="0059083D">
        <w:rPr>
          <w:snapToGrid w:val="0"/>
          <w:lang w:val="fr-CA"/>
        </w:rPr>
        <w:t>directement</w:t>
      </w:r>
      <w:r w:rsidR="000B08F2" w:rsidRPr="0059083D">
        <w:rPr>
          <w:snapToGrid w:val="0"/>
          <w:lang w:val="fr-CA"/>
        </w:rPr>
        <w:t xml:space="preserve"> o</w:t>
      </w:r>
      <w:r w:rsidRPr="0059083D">
        <w:rPr>
          <w:snapToGrid w:val="0"/>
          <w:lang w:val="fr-CA"/>
        </w:rPr>
        <w:t>u</w:t>
      </w:r>
      <w:r w:rsidR="000B08F2" w:rsidRPr="0059083D">
        <w:rPr>
          <w:snapToGrid w:val="0"/>
          <w:lang w:val="fr-CA"/>
        </w:rPr>
        <w:t xml:space="preserve"> in</w:t>
      </w:r>
      <w:r w:rsidR="002A0F83" w:rsidRPr="0059083D">
        <w:rPr>
          <w:snapToGrid w:val="0"/>
          <w:lang w:val="fr-CA"/>
        </w:rPr>
        <w:t>directement</w:t>
      </w:r>
      <w:r w:rsidR="000B08F2" w:rsidRPr="0059083D">
        <w:rPr>
          <w:snapToGrid w:val="0"/>
          <w:lang w:val="fr-CA"/>
        </w:rPr>
        <w:t xml:space="preserve">) </w:t>
      </w:r>
      <w:r w:rsidRPr="0059083D">
        <w:rPr>
          <w:snapToGrid w:val="0"/>
          <w:lang w:val="fr-CA"/>
        </w:rPr>
        <w:t xml:space="preserve">des </w:t>
      </w:r>
      <w:r w:rsidR="000B08F2" w:rsidRPr="0059083D">
        <w:rPr>
          <w:snapToGrid w:val="0"/>
          <w:lang w:val="fr-CA"/>
        </w:rPr>
        <w:t xml:space="preserve">Actions ordinaires </w:t>
      </w:r>
      <w:r w:rsidRPr="0059083D">
        <w:rPr>
          <w:snapToGrid w:val="0"/>
          <w:lang w:val="fr-CA"/>
        </w:rPr>
        <w:t xml:space="preserve">qu’il détient immédiatement avant la </w:t>
      </w:r>
      <w:r w:rsidR="00C55AA5" w:rsidRPr="0059083D">
        <w:rPr>
          <w:snapToGrid w:val="0"/>
          <w:lang w:val="fr-CA"/>
        </w:rPr>
        <w:t>date d’entrée en vigueur</w:t>
      </w:r>
      <w:r w:rsidR="000B08F2" w:rsidRPr="0059083D">
        <w:rPr>
          <w:snapToGrid w:val="0"/>
          <w:lang w:val="fr-CA"/>
        </w:rPr>
        <w:t xml:space="preserve"> </w:t>
      </w:r>
      <w:r w:rsidRPr="0059083D">
        <w:rPr>
          <w:snapToGrid w:val="0"/>
          <w:lang w:val="fr-CA"/>
        </w:rPr>
        <w:t xml:space="preserve">de la </w:t>
      </w:r>
      <w:r w:rsidR="002A0F83" w:rsidRPr="0059083D">
        <w:rPr>
          <w:snapToGrid w:val="0"/>
          <w:lang w:val="fr-CA"/>
        </w:rPr>
        <w:t>déclaration d’inscription</w:t>
      </w:r>
      <w:r w:rsidR="000B08F2" w:rsidRPr="0059083D">
        <w:rPr>
          <w:snapToGrid w:val="0"/>
          <w:lang w:val="fr-CA"/>
        </w:rPr>
        <w:t xml:space="preserve"> </w:t>
      </w:r>
      <w:r w:rsidRPr="0059083D">
        <w:rPr>
          <w:snapToGrid w:val="0"/>
          <w:lang w:val="fr-CA"/>
        </w:rPr>
        <w:t>se rapportant à ce placement</w:t>
      </w:r>
      <w:r w:rsidR="000B08F2" w:rsidRPr="00986BEB">
        <w:rPr>
          <w:rStyle w:val="FootnoteReference"/>
          <w:snapToGrid w:val="0"/>
          <w:lang w:val="fr-CA"/>
        </w:rPr>
        <w:footnoteReference w:id="31"/>
      </w:r>
      <w:r w:rsidRPr="0059083D">
        <w:rPr>
          <w:snapToGrid w:val="0"/>
          <w:lang w:val="fr-CA"/>
        </w:rPr>
        <w:t xml:space="preserve"> ou</w:t>
      </w:r>
      <w:r w:rsidR="000B08F2" w:rsidRPr="0059083D">
        <w:rPr>
          <w:snapToGrid w:val="0"/>
          <w:lang w:val="fr-CA"/>
        </w:rPr>
        <w:t xml:space="preserve"> </w:t>
      </w:r>
      <w:bookmarkStart w:id="190" w:name="DocXTextRef149"/>
      <w:r w:rsidR="000B08F2" w:rsidRPr="0059083D">
        <w:rPr>
          <w:snapToGrid w:val="0"/>
          <w:lang w:val="fr-CA"/>
        </w:rPr>
        <w:t>(</w:t>
      </w:r>
      <w:r w:rsidR="000B08F2" w:rsidRPr="00986BEB">
        <w:rPr>
          <w:snapToGrid w:val="0"/>
          <w:lang w:val="fr-CA"/>
        </w:rPr>
        <w:t>ii</w:t>
      </w:r>
      <w:r w:rsidR="000B08F2" w:rsidRPr="0059083D">
        <w:rPr>
          <w:snapToGrid w:val="0"/>
          <w:lang w:val="fr-CA"/>
        </w:rPr>
        <w:t>)</w:t>
      </w:r>
      <w:bookmarkEnd w:id="190"/>
      <w:r w:rsidRPr="0059083D">
        <w:rPr>
          <w:snapToGrid w:val="0"/>
          <w:lang w:val="fr-CA"/>
        </w:rPr>
        <w:t> conclure un swap ou une autre opération ayant pour effet de transférer à une autre personne, en totalité ou en partie, des conséquences financières de la propriété de tels titres, peu importe que les opérations indiquées à la clause (</w:t>
      </w:r>
      <w:r w:rsidRPr="00986BEB">
        <w:rPr>
          <w:snapToGrid w:val="0"/>
          <w:lang w:val="fr-CA"/>
        </w:rPr>
        <w:t>i</w:t>
      </w:r>
      <w:r w:rsidRPr="0059083D">
        <w:rPr>
          <w:snapToGrid w:val="0"/>
          <w:lang w:val="fr-CA"/>
        </w:rPr>
        <w:t>) ou (</w:t>
      </w:r>
      <w:r w:rsidRPr="00986BEB">
        <w:rPr>
          <w:snapToGrid w:val="0"/>
          <w:lang w:val="fr-CA"/>
        </w:rPr>
        <w:t>ii</w:t>
      </w:r>
      <w:r w:rsidRPr="0059083D">
        <w:rPr>
          <w:snapToGrid w:val="0"/>
          <w:lang w:val="fr-CA"/>
        </w:rPr>
        <w:t>) ci</w:t>
      </w:r>
      <w:r w:rsidRPr="0059083D">
        <w:rPr>
          <w:snapToGrid w:val="0"/>
          <w:lang w:val="fr-CA"/>
        </w:rPr>
        <w:noBreakHyphen/>
        <w:t>dessus soient réglées par la livraison d’Actions ordinaires ou d’autres titres, au comptant ou autrement.</w:t>
      </w:r>
      <w:r w:rsidR="000B08F2" w:rsidRPr="0059083D">
        <w:rPr>
          <w:snapToGrid w:val="0"/>
          <w:lang w:val="fr-CA"/>
        </w:rPr>
        <w:t xml:space="preserve"> </w:t>
      </w:r>
      <w:r w:rsidRPr="0059083D">
        <w:rPr>
          <w:snapToGrid w:val="0"/>
          <w:lang w:val="fr-CA"/>
        </w:rPr>
        <w:t xml:space="preserve">Les dispositions précédentes du présent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_Ref448380587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2.11</w:t>
      </w:r>
      <w:r w:rsidR="000B08F2" w:rsidRPr="00986BEB">
        <w:rPr>
          <w:snapToGrid w:val="0"/>
          <w:u w:val="single"/>
          <w:lang w:val="fr-CA"/>
        </w:rPr>
        <w:fldChar w:fldCharType="end"/>
      </w:r>
      <w:r w:rsidRPr="0059083D">
        <w:rPr>
          <w:snapToGrid w:val="0"/>
          <w:lang w:val="fr-CA"/>
        </w:rPr>
        <w:t xml:space="preserve"> [ne s’appliquent qu’au PAPE</w:t>
      </w:r>
      <w:r w:rsidR="00880A95" w:rsidRPr="0059083D">
        <w:rPr>
          <w:snapToGrid w:val="0"/>
          <w:lang w:val="fr-CA"/>
        </w:rPr>
        <w:t xml:space="preserve">,] </w:t>
      </w:r>
      <w:r w:rsidRPr="0059083D">
        <w:rPr>
          <w:snapToGrid w:val="0"/>
          <w:lang w:val="fr-CA"/>
        </w:rPr>
        <w:t xml:space="preserve">ne s’appliquent pas à la vente d’actions à un preneur ferme conformément à une </w:t>
      </w:r>
      <w:r w:rsidR="00F57900" w:rsidRPr="0059083D">
        <w:rPr>
          <w:snapToGrid w:val="0"/>
          <w:lang w:val="fr-CA"/>
        </w:rPr>
        <w:t>convention de prise ferme</w:t>
      </w:r>
      <w:r w:rsidR="00880A95" w:rsidRPr="0059083D">
        <w:rPr>
          <w:snapToGrid w:val="0"/>
          <w:lang w:val="fr-CA"/>
        </w:rPr>
        <w:t xml:space="preserve"> </w:t>
      </w:r>
      <w:r w:rsidR="00880A95" w:rsidRPr="0059083D">
        <w:rPr>
          <w:szCs w:val="24"/>
          <w:lang w:val="fr-CA"/>
        </w:rPr>
        <w:t>[</w:t>
      </w:r>
      <w:r w:rsidR="00B91224">
        <w:rPr>
          <w:szCs w:val="24"/>
          <w:lang w:val="fr-CA"/>
        </w:rPr>
        <w:t>ni</w:t>
      </w:r>
      <w:r w:rsidRPr="0059083D">
        <w:rPr>
          <w:szCs w:val="24"/>
          <w:lang w:val="fr-CA"/>
        </w:rPr>
        <w:t xml:space="preserve"> à l’établissement d’un régime de négociation conformément à la </w:t>
      </w:r>
      <w:r w:rsidR="00880A95" w:rsidRPr="0059083D">
        <w:rPr>
          <w:i/>
          <w:iCs/>
          <w:szCs w:val="24"/>
          <w:lang w:val="fr-CA"/>
        </w:rPr>
        <w:t>Rule</w:t>
      </w:r>
      <w:r w:rsidRPr="0059083D">
        <w:rPr>
          <w:i/>
          <w:iCs/>
          <w:szCs w:val="24"/>
          <w:lang w:val="fr-CA"/>
        </w:rPr>
        <w:t> </w:t>
      </w:r>
      <w:r w:rsidR="00880A95" w:rsidRPr="00986BEB">
        <w:rPr>
          <w:i/>
          <w:iCs/>
          <w:szCs w:val="24"/>
          <w:lang w:val="fr-CA"/>
        </w:rPr>
        <w:t>10</w:t>
      </w:r>
      <w:r w:rsidR="00880A95" w:rsidRPr="0059083D">
        <w:rPr>
          <w:i/>
          <w:iCs/>
          <w:szCs w:val="24"/>
          <w:lang w:val="fr-CA"/>
        </w:rPr>
        <w:t>b</w:t>
      </w:r>
      <w:r w:rsidR="00880A95" w:rsidRPr="00986BEB">
        <w:rPr>
          <w:i/>
          <w:iCs/>
          <w:szCs w:val="24"/>
          <w:lang w:val="fr-CA"/>
        </w:rPr>
        <w:t>5-1</w:t>
      </w:r>
      <w:r w:rsidR="00880A95" w:rsidRPr="0059083D">
        <w:rPr>
          <w:szCs w:val="24"/>
          <w:lang w:val="fr-CA"/>
        </w:rPr>
        <w:t xml:space="preserve"> </w:t>
      </w:r>
      <w:r w:rsidRPr="0059083D">
        <w:rPr>
          <w:szCs w:val="24"/>
          <w:lang w:val="fr-CA"/>
        </w:rPr>
        <w:t xml:space="preserve">ou </w:t>
      </w:r>
      <w:r w:rsidR="00077C7A" w:rsidRPr="0059083D">
        <w:rPr>
          <w:szCs w:val="24"/>
          <w:lang w:val="fr-CA"/>
        </w:rPr>
        <w:t>d’</w:t>
      </w:r>
      <w:r w:rsidRPr="0059083D">
        <w:rPr>
          <w:szCs w:val="24"/>
          <w:lang w:val="fr-CA"/>
        </w:rPr>
        <w:t xml:space="preserve">un régime de négociation semblable </w:t>
      </w:r>
      <w:r w:rsidR="00B91224">
        <w:rPr>
          <w:szCs w:val="24"/>
          <w:lang w:val="fr-CA"/>
        </w:rPr>
        <w:t>aux termes</w:t>
      </w:r>
      <w:r w:rsidRPr="0059083D">
        <w:rPr>
          <w:szCs w:val="24"/>
          <w:lang w:val="fr-CA"/>
        </w:rPr>
        <w:t xml:space="preserve"> des </w:t>
      </w:r>
      <w:r w:rsidR="0006561D" w:rsidRPr="0059083D">
        <w:rPr>
          <w:szCs w:val="24"/>
          <w:lang w:val="fr-CA"/>
        </w:rPr>
        <w:t>Lois sur les valeurs mobilières canadiennes</w:t>
      </w:r>
      <w:r w:rsidRPr="0059083D">
        <w:rPr>
          <w:szCs w:val="24"/>
          <w:lang w:val="fr-CA"/>
        </w:rPr>
        <w:t xml:space="preserve"> applicables</w:t>
      </w:r>
      <w:r w:rsidR="00880A95" w:rsidRPr="0059083D">
        <w:rPr>
          <w:szCs w:val="24"/>
          <w:lang w:val="fr-CA"/>
        </w:rPr>
        <w:t xml:space="preserve">, </w:t>
      </w:r>
      <w:r w:rsidRPr="00B91224">
        <w:rPr>
          <w:szCs w:val="24"/>
          <w:u w:val="single"/>
          <w:lang w:val="fr-CA"/>
        </w:rPr>
        <w:t>à condition</w:t>
      </w:r>
      <w:r w:rsidR="00880A95" w:rsidRPr="0059083D">
        <w:rPr>
          <w:szCs w:val="24"/>
          <w:lang w:val="fr-CA"/>
        </w:rPr>
        <w:t xml:space="preserve"> </w:t>
      </w:r>
      <w:r w:rsidRPr="0059083D">
        <w:rPr>
          <w:szCs w:val="24"/>
          <w:lang w:val="fr-CA"/>
        </w:rPr>
        <w:t>que ce régime ne permette pas les transferts pendant la période de restriction</w:t>
      </w:r>
      <w:r w:rsidR="00880A95" w:rsidRPr="0059083D">
        <w:rPr>
          <w:szCs w:val="24"/>
          <w:lang w:val="fr-CA"/>
        </w:rPr>
        <w:t>]</w:t>
      </w:r>
      <w:r w:rsidR="000B08F2" w:rsidRPr="0059083D">
        <w:rPr>
          <w:snapToGrid w:val="0"/>
          <w:szCs w:val="22"/>
          <w:lang w:val="fr-CA"/>
        </w:rPr>
        <w:t>, [</w:t>
      </w:r>
      <w:r w:rsidR="00B91224">
        <w:rPr>
          <w:snapToGrid w:val="0"/>
          <w:szCs w:val="22"/>
          <w:lang w:val="fr-CA"/>
        </w:rPr>
        <w:t>ni</w:t>
      </w:r>
      <w:r w:rsidRPr="0059083D">
        <w:rPr>
          <w:snapToGrid w:val="0"/>
          <w:szCs w:val="22"/>
          <w:lang w:val="fr-CA"/>
        </w:rPr>
        <w:t xml:space="preserve"> au transfert d’actions dans une fiducie au profit direct ou </w:t>
      </w:r>
      <w:r w:rsidR="000B08F2" w:rsidRPr="0059083D">
        <w:rPr>
          <w:snapToGrid w:val="0"/>
          <w:szCs w:val="22"/>
          <w:lang w:val="fr-CA"/>
        </w:rPr>
        <w:t xml:space="preserve">indirect </w:t>
      </w:r>
      <w:r w:rsidRPr="0059083D">
        <w:rPr>
          <w:snapToGrid w:val="0"/>
          <w:szCs w:val="22"/>
          <w:lang w:val="fr-CA"/>
        </w:rPr>
        <w:t xml:space="preserve">du </w:t>
      </w:r>
      <w:r w:rsidR="0006561D" w:rsidRPr="0059083D">
        <w:rPr>
          <w:snapToGrid w:val="0"/>
          <w:szCs w:val="22"/>
          <w:lang w:val="fr-CA"/>
        </w:rPr>
        <w:t>Porteur</w:t>
      </w:r>
      <w:r w:rsidR="000B08F2" w:rsidRPr="0059083D">
        <w:rPr>
          <w:snapToGrid w:val="0"/>
          <w:szCs w:val="22"/>
          <w:lang w:val="fr-CA"/>
        </w:rPr>
        <w:t xml:space="preserve"> </w:t>
      </w:r>
      <w:r w:rsidRPr="0059083D">
        <w:rPr>
          <w:snapToGrid w:val="0"/>
          <w:szCs w:val="22"/>
          <w:lang w:val="fr-CA"/>
        </w:rPr>
        <w:t>ou de sa famille immédiate</w:t>
      </w:r>
      <w:r w:rsidR="000B08F2" w:rsidRPr="0059083D">
        <w:rPr>
          <w:snapToGrid w:val="0"/>
          <w:szCs w:val="22"/>
          <w:lang w:val="fr-CA"/>
        </w:rPr>
        <w:t xml:space="preserve">, </w:t>
      </w:r>
      <w:r w:rsidRPr="0059083D">
        <w:rPr>
          <w:snapToGrid w:val="0"/>
          <w:szCs w:val="22"/>
          <w:lang w:val="fr-CA"/>
        </w:rPr>
        <w:t xml:space="preserve">à condition que le fiduciaire de la fiducie accepte par écrit d’être lié par les </w:t>
      </w:r>
      <w:r w:rsidR="000B08F2" w:rsidRPr="0059083D">
        <w:rPr>
          <w:snapToGrid w:val="0"/>
          <w:szCs w:val="22"/>
          <w:lang w:val="fr-CA"/>
        </w:rPr>
        <w:t xml:space="preserve">restrictions </w:t>
      </w:r>
      <w:r w:rsidRPr="0059083D">
        <w:rPr>
          <w:snapToGrid w:val="0"/>
          <w:szCs w:val="22"/>
          <w:lang w:val="fr-CA"/>
        </w:rPr>
        <w:t>prévues aux présentes et que le transfert ne comporte pas une aliénation</w:t>
      </w:r>
      <w:r w:rsidR="00B91224">
        <w:rPr>
          <w:snapToGrid w:val="0"/>
          <w:szCs w:val="22"/>
          <w:lang w:val="fr-CA"/>
        </w:rPr>
        <w:t xml:space="preserve"> </w:t>
      </w:r>
      <w:r w:rsidR="00B91224" w:rsidRPr="001F7454">
        <w:rPr>
          <w:snapToGrid w:val="0"/>
          <w:szCs w:val="22"/>
          <w:lang w:val="fr-CA"/>
        </w:rPr>
        <w:t>contre valeur</w:t>
      </w:r>
      <w:r w:rsidR="000B08F2" w:rsidRPr="0059083D">
        <w:rPr>
          <w:snapToGrid w:val="0"/>
          <w:szCs w:val="22"/>
          <w:lang w:val="fr-CA"/>
        </w:rPr>
        <w:t xml:space="preserve">,] </w:t>
      </w:r>
      <w:r w:rsidRPr="0059083D">
        <w:rPr>
          <w:snapToGrid w:val="0"/>
          <w:szCs w:val="22"/>
          <w:lang w:val="fr-CA"/>
        </w:rPr>
        <w:t xml:space="preserve">et s’appliquent aux </w:t>
      </w:r>
      <w:r w:rsidR="00E043C9" w:rsidRPr="0059083D">
        <w:rPr>
          <w:snapToGrid w:val="0"/>
          <w:szCs w:val="22"/>
          <w:lang w:val="fr-CA"/>
        </w:rPr>
        <w:t>Porteurs</w:t>
      </w:r>
      <w:r w:rsidR="000B08F2" w:rsidRPr="0059083D">
        <w:rPr>
          <w:snapToGrid w:val="0"/>
          <w:szCs w:val="22"/>
          <w:lang w:val="fr-CA"/>
        </w:rPr>
        <w:t xml:space="preserve"> </w:t>
      </w:r>
      <w:r w:rsidRPr="0059083D">
        <w:rPr>
          <w:snapToGrid w:val="0"/>
          <w:szCs w:val="22"/>
          <w:lang w:val="fr-CA"/>
        </w:rPr>
        <w:t xml:space="preserve">uniquement </w:t>
      </w:r>
      <w:r w:rsidR="00077C7A" w:rsidRPr="0059083D">
        <w:rPr>
          <w:snapToGrid w:val="0"/>
          <w:szCs w:val="22"/>
          <w:lang w:val="fr-CA"/>
        </w:rPr>
        <w:t xml:space="preserve">si </w:t>
      </w:r>
      <w:r w:rsidRPr="0059083D">
        <w:rPr>
          <w:snapToGrid w:val="0"/>
          <w:szCs w:val="22"/>
          <w:lang w:val="fr-CA"/>
        </w:rPr>
        <w:t xml:space="preserve">tous les dirigeants et administrateurs sont assujettis aux mêmes restrictions </w:t>
      </w:r>
      <w:r w:rsidR="000B08F2" w:rsidRPr="0059083D">
        <w:rPr>
          <w:snapToGrid w:val="0"/>
          <w:szCs w:val="22"/>
          <w:lang w:val="fr-CA"/>
        </w:rPr>
        <w:t>[</w:t>
      </w:r>
      <w:r w:rsidRPr="0059083D">
        <w:rPr>
          <w:snapToGrid w:val="0"/>
          <w:szCs w:val="22"/>
          <w:lang w:val="fr-CA"/>
        </w:rPr>
        <w:t xml:space="preserve">et que </w:t>
      </w:r>
      <w:r w:rsidR="000B08F2" w:rsidRPr="0059083D">
        <w:rPr>
          <w:snapToGrid w:val="0"/>
          <w:szCs w:val="22"/>
          <w:lang w:val="fr-CA"/>
        </w:rPr>
        <w:t xml:space="preserve">la Société </w:t>
      </w:r>
      <w:r w:rsidRPr="0059083D">
        <w:rPr>
          <w:snapToGrid w:val="0"/>
          <w:szCs w:val="22"/>
          <w:lang w:val="fr-CA"/>
        </w:rPr>
        <w:t>déploie des efforts raisonnables sur le plan commercial</w:t>
      </w:r>
      <w:r w:rsidR="000B08F2" w:rsidRPr="0059083D">
        <w:rPr>
          <w:snapToGrid w:val="0"/>
          <w:szCs w:val="22"/>
          <w:lang w:val="fr-CA"/>
        </w:rPr>
        <w:t xml:space="preserve"> </w:t>
      </w:r>
      <w:r w:rsidRPr="0059083D">
        <w:rPr>
          <w:snapToGrid w:val="0"/>
          <w:szCs w:val="22"/>
          <w:lang w:val="fr-CA"/>
        </w:rPr>
        <w:t>pour obtenir un engagement semblable de tous les actionnaires qui sont individuellement propriétaires de</w:t>
      </w:r>
      <w:r w:rsidR="00077C7A" w:rsidRPr="0059083D">
        <w:rPr>
          <w:snapToGrid w:val="0"/>
          <w:szCs w:val="22"/>
          <w:lang w:val="fr-CA"/>
        </w:rPr>
        <w:t xml:space="preserve"> </w:t>
      </w:r>
      <w:r w:rsidRPr="0059083D">
        <w:rPr>
          <w:snapToGrid w:val="0"/>
          <w:szCs w:val="22"/>
          <w:lang w:val="fr-CA"/>
        </w:rPr>
        <w:t xml:space="preserve">plus de </w:t>
      </w:r>
      <w:r w:rsidR="000B08F2" w:rsidRPr="0059083D">
        <w:rPr>
          <w:snapToGrid w:val="0"/>
          <w:szCs w:val="22"/>
          <w:lang w:val="fr-CA"/>
        </w:rPr>
        <w:t>[</w:t>
      </w:r>
      <w:r w:rsidRPr="0059083D">
        <w:rPr>
          <w:snapToGrid w:val="0"/>
          <w:szCs w:val="22"/>
          <w:lang w:val="fr-CA"/>
        </w:rPr>
        <w:t>un</w:t>
      </w:r>
      <w:r w:rsidR="00077C7A" w:rsidRPr="0059083D">
        <w:rPr>
          <w:snapToGrid w:val="0"/>
          <w:szCs w:val="22"/>
          <w:lang w:val="fr-CA"/>
        </w:rPr>
        <w:t xml:space="preserve"> </w:t>
      </w:r>
      <w:r w:rsidR="00266D7D">
        <w:rPr>
          <w:snapToGrid w:val="0"/>
          <w:szCs w:val="22"/>
          <w:lang w:val="fr-CA"/>
        </w:rPr>
        <w:t>-</w:t>
      </w:r>
      <w:r w:rsidR="00077C7A" w:rsidRPr="0059083D">
        <w:rPr>
          <w:snapToGrid w:val="0"/>
          <w:szCs w:val="22"/>
          <w:lang w:val="fr-CA"/>
        </w:rPr>
        <w:t xml:space="preserve"> </w:t>
      </w:r>
      <w:r w:rsidRPr="0059083D">
        <w:rPr>
          <w:snapToGrid w:val="0"/>
          <w:szCs w:val="22"/>
          <w:lang w:val="fr-CA"/>
        </w:rPr>
        <w:t>cinq</w:t>
      </w:r>
      <w:r w:rsidR="000B08F2" w:rsidRPr="0059083D">
        <w:rPr>
          <w:snapToGrid w:val="0"/>
          <w:szCs w:val="22"/>
          <w:lang w:val="fr-CA"/>
        </w:rPr>
        <w:t xml:space="preserve">] </w:t>
      </w:r>
      <w:r w:rsidRPr="0059083D">
        <w:rPr>
          <w:snapToGrid w:val="0"/>
          <w:szCs w:val="22"/>
          <w:lang w:val="fr-CA"/>
        </w:rPr>
        <w:t>pour cent</w:t>
      </w:r>
      <w:r w:rsidR="000B08F2" w:rsidRPr="0059083D">
        <w:rPr>
          <w:snapToGrid w:val="0"/>
          <w:szCs w:val="22"/>
          <w:lang w:val="fr-CA"/>
        </w:rPr>
        <w:t xml:space="preserve"> ([</w:t>
      </w:r>
      <w:r w:rsidR="000B08F2" w:rsidRPr="00986BEB">
        <w:rPr>
          <w:snapToGrid w:val="0"/>
          <w:szCs w:val="22"/>
          <w:lang w:val="fr-CA"/>
        </w:rPr>
        <w:t>1</w:t>
      </w:r>
      <w:r w:rsidR="00077C7A" w:rsidRPr="0059083D">
        <w:rPr>
          <w:snapToGrid w:val="0"/>
          <w:szCs w:val="22"/>
          <w:lang w:val="fr-CA"/>
        </w:rPr>
        <w:t xml:space="preserve"> </w:t>
      </w:r>
      <w:r w:rsidR="00266D7D">
        <w:rPr>
          <w:snapToGrid w:val="0"/>
          <w:szCs w:val="22"/>
          <w:lang w:val="fr-CA"/>
        </w:rPr>
        <w:t>-</w:t>
      </w:r>
      <w:r w:rsidR="00077C7A" w:rsidRPr="0059083D">
        <w:rPr>
          <w:snapToGrid w:val="0"/>
          <w:szCs w:val="22"/>
          <w:lang w:val="fr-CA"/>
        </w:rPr>
        <w:t xml:space="preserve"> </w:t>
      </w:r>
      <w:r w:rsidR="000B08F2" w:rsidRPr="00986BEB">
        <w:rPr>
          <w:snapToGrid w:val="0"/>
          <w:szCs w:val="22"/>
          <w:lang w:val="fr-CA"/>
        </w:rPr>
        <w:t>5</w:t>
      </w:r>
      <w:r w:rsidR="000B08F2" w:rsidRPr="0059083D">
        <w:rPr>
          <w:snapToGrid w:val="0"/>
          <w:szCs w:val="22"/>
          <w:lang w:val="fr-CA"/>
        </w:rPr>
        <w:t>]</w:t>
      </w:r>
      <w:r w:rsidRPr="0059083D">
        <w:rPr>
          <w:snapToGrid w:val="0"/>
          <w:szCs w:val="22"/>
          <w:lang w:val="fr-CA"/>
        </w:rPr>
        <w:t> </w:t>
      </w:r>
      <w:r w:rsidR="000B08F2" w:rsidRPr="0059083D">
        <w:rPr>
          <w:snapToGrid w:val="0"/>
          <w:szCs w:val="22"/>
          <w:lang w:val="fr-CA"/>
        </w:rPr>
        <w:t xml:space="preserve">%) </w:t>
      </w:r>
      <w:r w:rsidRPr="0059083D">
        <w:rPr>
          <w:snapToGrid w:val="0"/>
          <w:szCs w:val="22"/>
          <w:lang w:val="fr-CA"/>
        </w:rPr>
        <w:t xml:space="preserve">des </w:t>
      </w:r>
      <w:r w:rsidR="000B08F2" w:rsidRPr="0059083D">
        <w:rPr>
          <w:snapToGrid w:val="0"/>
          <w:szCs w:val="22"/>
          <w:lang w:val="fr-CA"/>
        </w:rPr>
        <w:t xml:space="preserve">Actions ordinaires </w:t>
      </w:r>
      <w:r w:rsidRPr="0059083D">
        <w:rPr>
          <w:snapToGrid w:val="0"/>
          <w:szCs w:val="22"/>
          <w:lang w:val="fr-CA"/>
        </w:rPr>
        <w:t xml:space="preserve">en circulation de la Société </w:t>
      </w:r>
      <w:r w:rsidR="000B08F2" w:rsidRPr="0059083D">
        <w:rPr>
          <w:snapToGrid w:val="0"/>
          <w:szCs w:val="22"/>
          <w:lang w:val="fr-CA"/>
        </w:rPr>
        <w:t>(</w:t>
      </w:r>
      <w:r w:rsidRPr="0059083D">
        <w:rPr>
          <w:snapToGrid w:val="0"/>
          <w:szCs w:val="22"/>
          <w:lang w:val="fr-CA"/>
        </w:rPr>
        <w:t xml:space="preserve">compte tenu de la </w:t>
      </w:r>
      <w:r w:rsidR="000B08F2" w:rsidRPr="0059083D">
        <w:rPr>
          <w:snapToGrid w:val="0"/>
          <w:szCs w:val="22"/>
          <w:lang w:val="fr-CA"/>
        </w:rPr>
        <w:t xml:space="preserve">conversion </w:t>
      </w:r>
      <w:r w:rsidRPr="0059083D">
        <w:rPr>
          <w:snapToGrid w:val="0"/>
          <w:szCs w:val="22"/>
          <w:lang w:val="fr-CA"/>
        </w:rPr>
        <w:t xml:space="preserve">en </w:t>
      </w:r>
      <w:r w:rsidR="000B08F2" w:rsidRPr="0059083D">
        <w:rPr>
          <w:snapToGrid w:val="0"/>
          <w:szCs w:val="22"/>
          <w:lang w:val="fr-CA"/>
        </w:rPr>
        <w:t xml:space="preserve">Actions ordinaires </w:t>
      </w:r>
      <w:r w:rsidRPr="0059083D">
        <w:rPr>
          <w:snapToGrid w:val="0"/>
          <w:szCs w:val="22"/>
          <w:lang w:val="fr-CA"/>
        </w:rPr>
        <w:t xml:space="preserve">de toutes les </w:t>
      </w:r>
      <w:r w:rsidR="004B6285" w:rsidRPr="0059083D">
        <w:rPr>
          <w:snapToGrid w:val="0"/>
          <w:szCs w:val="22"/>
          <w:lang w:val="fr-CA"/>
        </w:rPr>
        <w:t>Actions privilégiées [de catégorie A]</w:t>
      </w:r>
      <w:r w:rsidRPr="0059083D">
        <w:rPr>
          <w:snapToGrid w:val="0"/>
          <w:szCs w:val="22"/>
          <w:lang w:val="fr-CA"/>
        </w:rPr>
        <w:t xml:space="preserve"> en circulation</w:t>
      </w:r>
      <w:r w:rsidR="000B08F2" w:rsidRPr="0059083D">
        <w:rPr>
          <w:snapToGrid w:val="0"/>
          <w:szCs w:val="22"/>
          <w:lang w:val="fr-CA"/>
        </w:rPr>
        <w:t>)</w:t>
      </w:r>
      <w:bookmarkStart w:id="191" w:name="_Ref448380702"/>
      <w:r w:rsidR="000B08F2" w:rsidRPr="00986BEB">
        <w:rPr>
          <w:rStyle w:val="FootnoteReference"/>
          <w:snapToGrid w:val="0"/>
          <w:szCs w:val="22"/>
          <w:lang w:val="fr-CA"/>
        </w:rPr>
        <w:footnoteReference w:id="32"/>
      </w:r>
      <w:bookmarkEnd w:id="191"/>
      <w:r w:rsidR="000B08F2" w:rsidRPr="0059083D">
        <w:rPr>
          <w:snapToGrid w:val="0"/>
          <w:lang w:val="fr-CA"/>
        </w:rPr>
        <w:t xml:space="preserve">]. </w:t>
      </w:r>
      <w:r w:rsidR="001F60E8" w:rsidRPr="009D4254">
        <w:rPr>
          <w:snapToGrid w:val="0"/>
          <w:lang w:val="fr-CA"/>
        </w:rPr>
        <w:t xml:space="preserve">Les preneurs fermes participant à l’inscription sont les tiers bénéficiaires visés par le présent </w:t>
      </w:r>
      <w:r w:rsidR="002A0F83" w:rsidRPr="009D4254">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_Ref448380587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2.11</w:t>
      </w:r>
      <w:r w:rsidR="000B08F2" w:rsidRPr="00986BEB">
        <w:rPr>
          <w:snapToGrid w:val="0"/>
          <w:u w:val="single"/>
          <w:lang w:val="fr-CA"/>
        </w:rPr>
        <w:fldChar w:fldCharType="end"/>
      </w:r>
      <w:r w:rsidR="000B08F2" w:rsidRPr="009D4254">
        <w:rPr>
          <w:snapToGrid w:val="0"/>
          <w:lang w:val="fr-CA"/>
        </w:rPr>
        <w:t xml:space="preserve"> </w:t>
      </w:r>
      <w:r w:rsidR="001F60E8" w:rsidRPr="009D4254">
        <w:rPr>
          <w:snapToGrid w:val="0"/>
          <w:lang w:val="fr-CA"/>
        </w:rPr>
        <w:t>et ont le droit et le pouvoir d’en faire appliquer les dispositions comme s’ils étaient partie aux présentes.</w:t>
      </w:r>
      <w:r w:rsidR="000B08F2" w:rsidRPr="0059083D">
        <w:rPr>
          <w:snapToGrid w:val="0"/>
          <w:lang w:val="fr-CA"/>
        </w:rPr>
        <w:t xml:space="preserve"> </w:t>
      </w:r>
      <w:r w:rsidR="001F60E8" w:rsidRPr="009D4254">
        <w:rPr>
          <w:snapToGrid w:val="0"/>
          <w:lang w:val="fr-CA"/>
        </w:rPr>
        <w:t xml:space="preserve">Chaque </w:t>
      </w:r>
      <w:r w:rsidR="0006561D" w:rsidRPr="009D4254">
        <w:rPr>
          <w:snapToGrid w:val="0"/>
          <w:lang w:val="fr-CA"/>
        </w:rPr>
        <w:t>Porteur</w:t>
      </w:r>
      <w:r w:rsidR="001F60E8" w:rsidRPr="009D4254">
        <w:rPr>
          <w:snapToGrid w:val="0"/>
          <w:lang w:val="fr-CA"/>
        </w:rPr>
        <w:t xml:space="preserve"> s’engage en outre à signer les conventions que les preneurs fermes peuvent </w:t>
      </w:r>
      <w:r w:rsidR="007C4E71" w:rsidRPr="009D4254">
        <w:rPr>
          <w:snapToGrid w:val="0"/>
          <w:lang w:val="fr-CA"/>
        </w:rPr>
        <w:t>raisonnablement</w:t>
      </w:r>
      <w:r w:rsidR="000B08F2" w:rsidRPr="009D4254">
        <w:rPr>
          <w:snapToGrid w:val="0"/>
          <w:lang w:val="fr-CA"/>
        </w:rPr>
        <w:t xml:space="preserve"> </w:t>
      </w:r>
      <w:r w:rsidR="001F60E8" w:rsidRPr="009D4254">
        <w:rPr>
          <w:snapToGrid w:val="0"/>
          <w:lang w:val="fr-CA"/>
        </w:rPr>
        <w:t xml:space="preserve">demander à l’égard de l’inscription et qui sont conformes au présent </w:t>
      </w:r>
      <w:r w:rsidR="002A0F83" w:rsidRPr="009D4254">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_Ref448380587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2.11</w:t>
      </w:r>
      <w:r w:rsidR="000B08F2" w:rsidRPr="00986BEB">
        <w:rPr>
          <w:snapToGrid w:val="0"/>
          <w:u w:val="single"/>
          <w:lang w:val="fr-CA"/>
        </w:rPr>
        <w:fldChar w:fldCharType="end"/>
      </w:r>
      <w:r w:rsidR="000B08F2" w:rsidRPr="009D4254">
        <w:rPr>
          <w:snapToGrid w:val="0"/>
          <w:lang w:val="fr-CA"/>
        </w:rPr>
        <w:t xml:space="preserve"> </w:t>
      </w:r>
      <w:r w:rsidR="001F60E8" w:rsidRPr="009D4254">
        <w:rPr>
          <w:snapToGrid w:val="0"/>
          <w:lang w:val="fr-CA"/>
        </w:rPr>
        <w:t>ou qui sont nécessaires pour y donner effet</w:t>
      </w:r>
      <w:r w:rsidR="000B08F2" w:rsidRPr="009D4254">
        <w:rPr>
          <w:snapToGrid w:val="0"/>
          <w:lang w:val="fr-CA"/>
        </w:rPr>
        <w:t>.</w:t>
      </w:r>
      <w:r w:rsidR="000B08F2" w:rsidRPr="0059083D">
        <w:rPr>
          <w:snapToGrid w:val="0"/>
          <w:lang w:val="fr-CA"/>
        </w:rPr>
        <w:t xml:space="preserve"> [</w:t>
      </w:r>
      <w:r w:rsidR="001F60E8" w:rsidRPr="0059083D">
        <w:rPr>
          <w:snapToGrid w:val="0"/>
          <w:lang w:val="fr-CA"/>
        </w:rPr>
        <w:t xml:space="preserve">Toute renonciation discrétionnaire </w:t>
      </w:r>
      <w:r w:rsidR="00EC53AE">
        <w:rPr>
          <w:snapToGrid w:val="0"/>
          <w:lang w:val="fr-CA"/>
        </w:rPr>
        <w:t>aux restrictions prévues par certaines ou l’</w:t>
      </w:r>
      <w:r w:rsidR="00F56D04">
        <w:rPr>
          <w:snapToGrid w:val="0"/>
          <w:lang w:val="fr-CA"/>
        </w:rPr>
        <w:t>e</w:t>
      </w:r>
      <w:r w:rsidR="00EC53AE">
        <w:rPr>
          <w:snapToGrid w:val="0"/>
          <w:lang w:val="fr-CA"/>
        </w:rPr>
        <w:t>nsemble de</w:t>
      </w:r>
      <w:r w:rsidR="00F56D04">
        <w:rPr>
          <w:snapToGrid w:val="0"/>
          <w:lang w:val="fr-CA"/>
        </w:rPr>
        <w:t xml:space="preserve"> ces conventions </w:t>
      </w:r>
      <w:r w:rsidR="001F60E8" w:rsidRPr="0059083D">
        <w:rPr>
          <w:snapToGrid w:val="0"/>
          <w:lang w:val="fr-CA"/>
        </w:rPr>
        <w:t xml:space="preserve">ou toute levée </w:t>
      </w:r>
      <w:r w:rsidR="00F56D04">
        <w:rPr>
          <w:snapToGrid w:val="0"/>
          <w:lang w:val="fr-CA"/>
        </w:rPr>
        <w:t xml:space="preserve">discrétionnaire </w:t>
      </w:r>
      <w:r w:rsidR="001F60E8" w:rsidRPr="0059083D">
        <w:rPr>
          <w:snapToGrid w:val="0"/>
          <w:lang w:val="fr-CA"/>
        </w:rPr>
        <w:t xml:space="preserve">de ces restrictions par </w:t>
      </w:r>
      <w:r w:rsidR="000B08F2" w:rsidRPr="0059083D">
        <w:rPr>
          <w:snapToGrid w:val="0"/>
          <w:lang w:val="fr-CA"/>
        </w:rPr>
        <w:t xml:space="preserve">la Société </w:t>
      </w:r>
      <w:r w:rsidR="001F60E8" w:rsidRPr="0059083D">
        <w:rPr>
          <w:snapToGrid w:val="0"/>
          <w:lang w:val="fr-CA"/>
        </w:rPr>
        <w:t>ou les preneurs fermes s’applique au prorata à tous les actionnaires de la Société qui y sont assujettis</w:t>
      </w:r>
      <w:r w:rsidR="000B08F2" w:rsidRPr="0059083D">
        <w:rPr>
          <w:snapToGrid w:val="0"/>
          <w:lang w:val="fr-CA"/>
        </w:rPr>
        <w:t xml:space="preserve">, </w:t>
      </w:r>
      <w:r w:rsidR="001F60E8" w:rsidRPr="0059083D">
        <w:rPr>
          <w:snapToGrid w:val="0"/>
          <w:lang w:val="fr-CA"/>
        </w:rPr>
        <w:t xml:space="preserve">en fonction du nombre d’actions visées par </w:t>
      </w:r>
      <w:r w:rsidR="00F56D04">
        <w:rPr>
          <w:snapToGrid w:val="0"/>
          <w:lang w:val="fr-CA"/>
        </w:rPr>
        <w:t>ces conventions</w:t>
      </w:r>
      <w:r w:rsidR="000B08F2" w:rsidRPr="0059083D">
        <w:rPr>
          <w:snapToGrid w:val="0"/>
          <w:lang w:val="fr-CA"/>
        </w:rPr>
        <w:t>[</w:t>
      </w:r>
      <w:r w:rsidR="001F60E8" w:rsidRPr="0059083D">
        <w:rPr>
          <w:snapToGrid w:val="0"/>
          <w:lang w:val="fr-CA"/>
        </w:rPr>
        <w:t>; toutefois</w:t>
      </w:r>
      <w:r w:rsidR="000B08F2" w:rsidRPr="0059083D">
        <w:rPr>
          <w:snapToGrid w:val="0"/>
          <w:lang w:val="fr-CA"/>
        </w:rPr>
        <w:t xml:space="preserve">, </w:t>
      </w:r>
      <w:r w:rsidR="001F60E8" w:rsidRPr="0059083D">
        <w:rPr>
          <w:snapToGrid w:val="0"/>
          <w:lang w:val="fr-CA"/>
        </w:rPr>
        <w:t>malgré ce qui précède</w:t>
      </w:r>
      <w:r w:rsidR="000B08F2" w:rsidRPr="0059083D">
        <w:rPr>
          <w:snapToGrid w:val="0"/>
          <w:lang w:val="fr-CA"/>
        </w:rPr>
        <w:t xml:space="preserve">, la Société </w:t>
      </w:r>
      <w:r w:rsidR="001F60E8" w:rsidRPr="0059083D">
        <w:rPr>
          <w:snapToGrid w:val="0"/>
          <w:lang w:val="fr-CA"/>
        </w:rPr>
        <w:t xml:space="preserve">et les preneurs fermes peuvent, à leur seule appréciation, renoncer à ces restrictions ou </w:t>
      </w:r>
      <w:r w:rsidR="001C400F">
        <w:rPr>
          <w:snapToGrid w:val="0"/>
          <w:lang w:val="fr-CA"/>
        </w:rPr>
        <w:t>les lever</w:t>
      </w:r>
      <w:r w:rsidR="001F60E8" w:rsidRPr="0059083D">
        <w:rPr>
          <w:snapToGrid w:val="0"/>
          <w:lang w:val="fr-CA"/>
        </w:rPr>
        <w:t xml:space="preserve"> à l’égard d’un maximum de </w:t>
      </w:r>
      <w:r w:rsidR="000B08F2" w:rsidRPr="0059083D">
        <w:rPr>
          <w:snapToGrid w:val="0"/>
          <w:lang w:val="fr-CA"/>
        </w:rPr>
        <w:t>[______</w:t>
      </w:r>
      <w:r w:rsidR="001F60E8" w:rsidRPr="0059083D">
        <w:rPr>
          <w:snapToGrid w:val="0"/>
          <w:lang w:val="fr-CA"/>
        </w:rPr>
        <w:t xml:space="preserve"> </w:t>
      </w:r>
      <w:r w:rsidR="000B08F2" w:rsidRPr="0059083D">
        <w:rPr>
          <w:snapToGrid w:val="0"/>
          <w:lang w:val="fr-CA"/>
        </w:rPr>
        <w:t>( )]</w:t>
      </w:r>
      <w:r w:rsidR="001F60E8" w:rsidRPr="0059083D">
        <w:rPr>
          <w:snapToGrid w:val="0"/>
          <w:lang w:val="fr-CA"/>
        </w:rPr>
        <w:t> </w:t>
      </w:r>
      <w:r w:rsidR="000B08F2" w:rsidRPr="0059083D">
        <w:rPr>
          <w:snapToGrid w:val="0"/>
          <w:lang w:val="fr-CA"/>
        </w:rPr>
        <w:t>Actions ordinaires</w:t>
      </w:r>
      <w:bookmarkStart w:id="192" w:name="_Ref448380703"/>
      <w:r w:rsidR="00F56D04" w:rsidRPr="00986BEB">
        <w:rPr>
          <w:rStyle w:val="FootnoteReference"/>
          <w:snapToGrid w:val="0"/>
          <w:lang w:val="fr-CA"/>
        </w:rPr>
        <w:footnoteReference w:id="33"/>
      </w:r>
      <w:bookmarkEnd w:id="192"/>
      <w:r w:rsidR="000B08F2" w:rsidRPr="0059083D">
        <w:rPr>
          <w:snapToGrid w:val="0"/>
          <w:lang w:val="fr-CA"/>
        </w:rPr>
        <w:t>].]</w:t>
      </w:r>
    </w:p>
    <w:p w14:paraId="7F251522" w14:textId="174053F7" w:rsidR="00037C7E" w:rsidRPr="00986BEB" w:rsidRDefault="000B08F2">
      <w:pPr>
        <w:pStyle w:val="StandardL2"/>
        <w:rPr>
          <w:lang w:val="fr-CA"/>
        </w:rPr>
      </w:pPr>
      <w:bookmarkStart w:id="193" w:name="_Ref448380588"/>
      <w:bookmarkStart w:id="194" w:name="_Toc132874728"/>
      <w:r w:rsidRPr="009D4254">
        <w:rPr>
          <w:lang w:val="fr-CA"/>
        </w:rPr>
        <w:t xml:space="preserve">Restrictions </w:t>
      </w:r>
      <w:r w:rsidR="001F60E8" w:rsidRPr="009D4254">
        <w:rPr>
          <w:lang w:val="fr-CA"/>
        </w:rPr>
        <w:t>au transfert</w:t>
      </w:r>
      <w:bookmarkStart w:id="195" w:name="_Ref448380704"/>
      <w:r w:rsidRPr="00986BEB">
        <w:rPr>
          <w:rStyle w:val="FootnoteReference"/>
          <w:snapToGrid w:val="0"/>
          <w:lang w:val="fr-CA"/>
        </w:rPr>
        <w:footnoteReference w:id="34"/>
      </w:r>
      <w:bookmarkEnd w:id="193"/>
      <w:bookmarkEnd w:id="195"/>
      <w:r w:rsidR="001F60E8" w:rsidRPr="0059083D">
        <w:rPr>
          <w:lang w:val="fr-CA"/>
        </w:rPr>
        <w:t>.</w:t>
      </w:r>
      <w:bookmarkEnd w:id="194"/>
    </w:p>
    <w:p w14:paraId="4CA8ADDD" w14:textId="316B32F6" w:rsidR="00037C7E" w:rsidRPr="00986BEB" w:rsidRDefault="001F60E8">
      <w:pPr>
        <w:pStyle w:val="StandardL3"/>
        <w:rPr>
          <w:lang w:val="fr-CA"/>
        </w:rPr>
      </w:pPr>
      <w:bookmarkStart w:id="196" w:name="_Ref448380589"/>
      <w:r w:rsidRPr="0059083D">
        <w:rPr>
          <w:lang w:val="fr-CA"/>
        </w:rPr>
        <w:t xml:space="preserve">Les </w:t>
      </w:r>
      <w:r w:rsidR="004B6285" w:rsidRPr="0059083D">
        <w:rPr>
          <w:lang w:val="fr-CA"/>
        </w:rPr>
        <w:t>Actions privilégiées [de catégorie A]</w:t>
      </w:r>
      <w:r w:rsidR="000B08F2" w:rsidRPr="0059083D">
        <w:rPr>
          <w:lang w:val="fr-CA"/>
        </w:rPr>
        <w:t xml:space="preserve"> </w:t>
      </w:r>
      <w:r w:rsidRPr="0059083D">
        <w:rPr>
          <w:lang w:val="fr-CA"/>
        </w:rPr>
        <w:t xml:space="preserve">et </w:t>
      </w:r>
      <w:r w:rsidR="000B08F2" w:rsidRPr="0059083D">
        <w:rPr>
          <w:lang w:val="fr-CA"/>
        </w:rPr>
        <w:t xml:space="preserve">les </w:t>
      </w:r>
      <w:r w:rsidR="0006561D" w:rsidRPr="0059083D">
        <w:rPr>
          <w:lang w:val="fr-CA"/>
        </w:rPr>
        <w:t>Titres à inscrire</w:t>
      </w:r>
      <w:r w:rsidR="000B08F2" w:rsidRPr="0059083D">
        <w:rPr>
          <w:lang w:val="fr-CA"/>
        </w:rPr>
        <w:t xml:space="preserve"> </w:t>
      </w:r>
      <w:r w:rsidRPr="0059083D">
        <w:rPr>
          <w:lang w:val="fr-CA"/>
        </w:rPr>
        <w:t>ne doivent pas être vendus, donnés en gage ni transférés autrement</w:t>
      </w:r>
      <w:r w:rsidR="000B08F2" w:rsidRPr="0059083D">
        <w:rPr>
          <w:lang w:val="fr-CA"/>
        </w:rPr>
        <w:t xml:space="preserve">, </w:t>
      </w:r>
      <w:r w:rsidRPr="0059083D">
        <w:rPr>
          <w:lang w:val="fr-CA"/>
        </w:rPr>
        <w:t xml:space="preserve">et </w:t>
      </w:r>
      <w:r w:rsidR="000B08F2" w:rsidRPr="0059083D">
        <w:rPr>
          <w:lang w:val="fr-CA"/>
        </w:rPr>
        <w:t xml:space="preserve">la Société </w:t>
      </w:r>
      <w:r w:rsidRPr="0059083D">
        <w:rPr>
          <w:lang w:val="fr-CA"/>
        </w:rPr>
        <w:t xml:space="preserve">ne reconnaît pas </w:t>
      </w:r>
      <w:r w:rsidR="00B37ED4">
        <w:rPr>
          <w:lang w:val="fr-CA"/>
        </w:rPr>
        <w:t>de telles opérations</w:t>
      </w:r>
      <w:r w:rsidRPr="0059083D">
        <w:rPr>
          <w:lang w:val="fr-CA"/>
        </w:rPr>
        <w:t xml:space="preserve"> et donne à son agent des transferts des directives d’interdiction à leur égard</w:t>
      </w:r>
      <w:r w:rsidR="000B08F2" w:rsidRPr="0059083D">
        <w:rPr>
          <w:lang w:val="fr-CA"/>
        </w:rPr>
        <w:t xml:space="preserve">, </w:t>
      </w:r>
      <w:r w:rsidRPr="0059083D">
        <w:rPr>
          <w:lang w:val="fr-CA"/>
        </w:rPr>
        <w:t xml:space="preserve">sauf si ces opérations sont effectuées en conformité avec les conditions énoncées dans </w:t>
      </w:r>
      <w:r w:rsidR="000B08F2" w:rsidRPr="0059083D">
        <w:rPr>
          <w:lang w:val="fr-CA"/>
        </w:rPr>
        <w:t xml:space="preserve">la présente Convention, </w:t>
      </w:r>
      <w:r w:rsidRPr="0059083D">
        <w:rPr>
          <w:lang w:val="fr-CA"/>
        </w:rPr>
        <w:t xml:space="preserve">lesquelles conditions visent à assurer le respect des dispositions 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et des Lois sur les valeurs mobilières canadiennes applicables</w:t>
      </w:r>
      <w:r w:rsidR="000B08F2" w:rsidRPr="0059083D">
        <w:rPr>
          <w:lang w:val="fr-CA"/>
        </w:rPr>
        <w:t xml:space="preserve">. </w:t>
      </w:r>
      <w:r w:rsidRPr="0059083D">
        <w:rPr>
          <w:lang w:val="fr-CA"/>
        </w:rPr>
        <w:t xml:space="preserve">Un </w:t>
      </w:r>
      <w:r w:rsidR="0006561D" w:rsidRPr="0059083D">
        <w:rPr>
          <w:lang w:val="fr-CA"/>
        </w:rPr>
        <w:t>Porteur</w:t>
      </w:r>
      <w:r w:rsidR="000B08F2" w:rsidRPr="0059083D">
        <w:rPr>
          <w:lang w:val="fr-CA"/>
        </w:rPr>
        <w:t xml:space="preserve"> </w:t>
      </w:r>
      <w:r w:rsidRPr="0059083D">
        <w:rPr>
          <w:lang w:val="fr-CA"/>
        </w:rPr>
        <w:t xml:space="preserve">cessionnaire exigera que tout acquéreur, gagiste ou cessionnaire proposé des </w:t>
      </w:r>
      <w:r w:rsidR="004B6285" w:rsidRPr="0059083D">
        <w:rPr>
          <w:lang w:val="fr-CA"/>
        </w:rPr>
        <w:t>Actions privilégiées [de catégorie A]</w:t>
      </w:r>
      <w:r w:rsidR="000B08F2" w:rsidRPr="0059083D">
        <w:rPr>
          <w:lang w:val="fr-CA"/>
        </w:rPr>
        <w:t xml:space="preserve"> </w:t>
      </w:r>
      <w:r w:rsidRPr="0059083D">
        <w:rPr>
          <w:lang w:val="fr-CA"/>
        </w:rPr>
        <w:t>et d</w:t>
      </w:r>
      <w:r w:rsidR="000B08F2" w:rsidRPr="0059083D">
        <w:rPr>
          <w:lang w:val="fr-CA"/>
        </w:rPr>
        <w:t xml:space="preserve">es </w:t>
      </w:r>
      <w:r w:rsidR="0006561D" w:rsidRPr="0059083D">
        <w:rPr>
          <w:lang w:val="fr-CA"/>
        </w:rPr>
        <w:t>Titres à inscrire</w:t>
      </w:r>
      <w:r w:rsidR="000B08F2" w:rsidRPr="0059083D">
        <w:rPr>
          <w:lang w:val="fr-CA"/>
        </w:rPr>
        <w:t xml:space="preserve"> </w:t>
      </w:r>
      <w:r w:rsidR="00B21D22" w:rsidRPr="0059083D">
        <w:rPr>
          <w:lang w:val="fr-CA"/>
        </w:rPr>
        <w:t xml:space="preserve">qu’il détient s’engage à prendre et à détenir ces </w:t>
      </w:r>
      <w:r w:rsidR="007C4E71" w:rsidRPr="0059083D">
        <w:rPr>
          <w:lang w:val="fr-CA"/>
        </w:rPr>
        <w:t>titres</w:t>
      </w:r>
      <w:r w:rsidR="000B08F2" w:rsidRPr="0059083D">
        <w:rPr>
          <w:lang w:val="fr-CA"/>
        </w:rPr>
        <w:t xml:space="preserve"> </w:t>
      </w:r>
      <w:r w:rsidR="00B21D22" w:rsidRPr="0059083D">
        <w:rPr>
          <w:lang w:val="fr-CA"/>
        </w:rPr>
        <w:t xml:space="preserve">sous réserve des dispositions et conformément aux conditions énoncées dans </w:t>
      </w:r>
      <w:r w:rsidR="000B08F2" w:rsidRPr="0059083D">
        <w:rPr>
          <w:lang w:val="fr-CA"/>
        </w:rPr>
        <w:t>la présente Convention.</w:t>
      </w:r>
      <w:bookmarkEnd w:id="196"/>
      <w:r w:rsidR="00D86894" w:rsidRPr="0059083D">
        <w:rPr>
          <w:szCs w:val="24"/>
          <w:lang w:val="fr-CA"/>
        </w:rPr>
        <w:t xml:space="preserve"> [</w:t>
      </w:r>
      <w:r w:rsidR="009677AC" w:rsidRPr="0059083D">
        <w:rPr>
          <w:szCs w:val="24"/>
          <w:lang w:val="fr-CA"/>
        </w:rPr>
        <w:t>Malgré ce qui précède</w:t>
      </w:r>
      <w:r w:rsidR="00D86894" w:rsidRPr="0059083D">
        <w:rPr>
          <w:szCs w:val="24"/>
          <w:lang w:val="fr-CA"/>
        </w:rPr>
        <w:t xml:space="preserve">, </w:t>
      </w:r>
      <w:r w:rsidR="000B08F2" w:rsidRPr="0059083D">
        <w:rPr>
          <w:szCs w:val="24"/>
          <w:lang w:val="fr-CA"/>
        </w:rPr>
        <w:t>la Société</w:t>
      </w:r>
      <w:r w:rsidR="00D86894" w:rsidRPr="0059083D">
        <w:rPr>
          <w:szCs w:val="24"/>
          <w:lang w:val="fr-CA"/>
        </w:rPr>
        <w:t xml:space="preserve"> </w:t>
      </w:r>
      <w:r w:rsidR="00B21D22" w:rsidRPr="0059083D">
        <w:rPr>
          <w:szCs w:val="24"/>
          <w:lang w:val="fr-CA"/>
        </w:rPr>
        <w:t xml:space="preserve">n’exige pas qu’un cessionnaire d’actions aux termes d’une </w:t>
      </w:r>
      <w:r w:rsidR="002A0F83" w:rsidRPr="0059083D">
        <w:rPr>
          <w:szCs w:val="24"/>
          <w:lang w:val="fr-CA"/>
        </w:rPr>
        <w:t>déclaration d’inscription</w:t>
      </w:r>
      <w:r w:rsidR="00D86894" w:rsidRPr="0059083D">
        <w:rPr>
          <w:szCs w:val="24"/>
          <w:lang w:val="fr-CA"/>
        </w:rPr>
        <w:t xml:space="preserve"> </w:t>
      </w:r>
      <w:r w:rsidR="00F0209A">
        <w:rPr>
          <w:szCs w:val="24"/>
          <w:lang w:val="fr-CA"/>
        </w:rPr>
        <w:t xml:space="preserve">en vigueur </w:t>
      </w:r>
      <w:r w:rsidR="00B21D22" w:rsidRPr="0059083D">
        <w:rPr>
          <w:szCs w:val="24"/>
          <w:lang w:val="fr-CA"/>
        </w:rPr>
        <w:t xml:space="preserve">ou, après le PAPE, aux termes de la </w:t>
      </w:r>
      <w:r w:rsidR="00A45E89" w:rsidRPr="0059083D">
        <w:rPr>
          <w:szCs w:val="24"/>
          <w:lang w:val="fr-CA"/>
        </w:rPr>
        <w:t>Règle </w:t>
      </w:r>
      <w:r w:rsidR="00A45E89" w:rsidRPr="00986BEB">
        <w:rPr>
          <w:szCs w:val="24"/>
          <w:lang w:val="fr-CA"/>
        </w:rPr>
        <w:t>144</w:t>
      </w:r>
      <w:r w:rsidR="00A45E89" w:rsidRPr="0059083D">
        <w:rPr>
          <w:szCs w:val="24"/>
          <w:lang w:val="fr-CA"/>
        </w:rPr>
        <w:t xml:space="preserve"> de la SEC</w:t>
      </w:r>
      <w:r w:rsidR="00D86894" w:rsidRPr="0059083D">
        <w:rPr>
          <w:szCs w:val="24"/>
          <w:lang w:val="fr-CA"/>
        </w:rPr>
        <w:t xml:space="preserve"> </w:t>
      </w:r>
      <w:r w:rsidR="00B21D22" w:rsidRPr="0059083D">
        <w:rPr>
          <w:szCs w:val="24"/>
          <w:lang w:val="fr-CA"/>
        </w:rPr>
        <w:t>ou du Règlement </w:t>
      </w:r>
      <w:r w:rsidR="00D86894" w:rsidRPr="00986BEB">
        <w:rPr>
          <w:szCs w:val="24"/>
          <w:lang w:val="fr-CA"/>
        </w:rPr>
        <w:t>45-102</w:t>
      </w:r>
      <w:r w:rsidR="00D86894" w:rsidRPr="0059083D">
        <w:rPr>
          <w:szCs w:val="24"/>
          <w:lang w:val="fr-CA"/>
        </w:rPr>
        <w:t xml:space="preserve">, </w:t>
      </w:r>
      <w:r w:rsidR="00B21D22" w:rsidRPr="0059083D">
        <w:rPr>
          <w:szCs w:val="24"/>
          <w:lang w:val="fr-CA"/>
        </w:rPr>
        <w:t xml:space="preserve">selon le cas, soit lié par les modalités de </w:t>
      </w:r>
      <w:r w:rsidR="000B08F2" w:rsidRPr="0059083D">
        <w:rPr>
          <w:szCs w:val="24"/>
          <w:lang w:val="fr-CA"/>
        </w:rPr>
        <w:t>la présente Convention</w:t>
      </w:r>
      <w:r w:rsidR="00D86894" w:rsidRPr="0059083D">
        <w:rPr>
          <w:szCs w:val="24"/>
          <w:lang w:val="fr-CA"/>
        </w:rPr>
        <w:t>.]</w:t>
      </w:r>
    </w:p>
    <w:p w14:paraId="7E22E281" w14:textId="590614CC" w:rsidR="00037C7E" w:rsidRPr="00986BEB" w:rsidRDefault="00077C7A">
      <w:pPr>
        <w:pStyle w:val="StandardL3"/>
        <w:rPr>
          <w:lang w:val="fr-CA"/>
        </w:rPr>
      </w:pPr>
      <w:bookmarkStart w:id="197" w:name="_Ref448380590"/>
      <w:r w:rsidRPr="0059083D">
        <w:rPr>
          <w:lang w:val="fr-CA"/>
        </w:rPr>
        <w:t>Chaque certificat, instrument ou inscription en compte représentant</w:t>
      </w:r>
      <w:bookmarkStart w:id="198" w:name="DocXTextRef159"/>
      <w:r w:rsidRPr="0059083D">
        <w:rPr>
          <w:lang w:val="fr-CA"/>
        </w:rPr>
        <w:t xml:space="preserve"> </w:t>
      </w:r>
      <w:r w:rsidR="000B08F2" w:rsidRPr="0059083D">
        <w:rPr>
          <w:lang w:val="fr-CA"/>
        </w:rPr>
        <w:t>(</w:t>
      </w:r>
      <w:r w:rsidR="000B08F2" w:rsidRPr="00986BEB">
        <w:rPr>
          <w:lang w:val="fr-CA"/>
        </w:rPr>
        <w:t>i</w:t>
      </w:r>
      <w:r w:rsidR="000B08F2" w:rsidRPr="0059083D">
        <w:rPr>
          <w:lang w:val="fr-CA"/>
        </w:rPr>
        <w:t>)</w:t>
      </w:r>
      <w:bookmarkEnd w:id="198"/>
      <w:r w:rsidRPr="0059083D">
        <w:rPr>
          <w:lang w:val="fr-CA"/>
        </w:rPr>
        <w:t xml:space="preserve"> les </w:t>
      </w:r>
      <w:r w:rsidR="004B6285" w:rsidRPr="0059083D">
        <w:rPr>
          <w:lang w:val="fr-CA"/>
        </w:rPr>
        <w:t>Actions privilégiées [de catégorie A]</w:t>
      </w:r>
      <w:r w:rsidR="000B08F2" w:rsidRPr="0059083D">
        <w:rPr>
          <w:lang w:val="fr-CA"/>
        </w:rPr>
        <w:t xml:space="preserve">, </w:t>
      </w:r>
      <w:bookmarkStart w:id="199" w:name="DocXTextRef160"/>
      <w:r w:rsidR="000B08F2" w:rsidRPr="0059083D">
        <w:rPr>
          <w:lang w:val="fr-CA"/>
        </w:rPr>
        <w:t>(</w:t>
      </w:r>
      <w:r w:rsidR="000B08F2" w:rsidRPr="00986BEB">
        <w:rPr>
          <w:lang w:val="fr-CA"/>
        </w:rPr>
        <w:t>ii</w:t>
      </w:r>
      <w:r w:rsidR="000B08F2" w:rsidRPr="0059083D">
        <w:rPr>
          <w:lang w:val="fr-CA"/>
        </w:rPr>
        <w:t>)</w:t>
      </w:r>
      <w:bookmarkEnd w:id="199"/>
      <w:r w:rsidRPr="0059083D">
        <w:rPr>
          <w:lang w:val="fr-CA"/>
        </w:rPr>
        <w:t> </w:t>
      </w:r>
      <w:r w:rsidR="000B08F2" w:rsidRPr="0059083D">
        <w:rPr>
          <w:lang w:val="fr-CA"/>
        </w:rPr>
        <w:t xml:space="preserve">les </w:t>
      </w:r>
      <w:r w:rsidR="0006561D" w:rsidRPr="0059083D">
        <w:rPr>
          <w:lang w:val="fr-CA"/>
        </w:rPr>
        <w:t>Titres à inscrire</w:t>
      </w:r>
      <w:r w:rsidRPr="0059083D">
        <w:rPr>
          <w:lang w:val="fr-CA"/>
        </w:rPr>
        <w:t xml:space="preserve"> et </w:t>
      </w:r>
      <w:bookmarkStart w:id="200" w:name="DocXTextRef161"/>
      <w:r w:rsidR="000B08F2" w:rsidRPr="0059083D">
        <w:rPr>
          <w:lang w:val="fr-CA"/>
        </w:rPr>
        <w:t>(</w:t>
      </w:r>
      <w:r w:rsidR="000B08F2" w:rsidRPr="00986BEB">
        <w:rPr>
          <w:lang w:val="fr-CA"/>
        </w:rPr>
        <w:t>iii</w:t>
      </w:r>
      <w:r w:rsidR="000B08F2" w:rsidRPr="0059083D">
        <w:rPr>
          <w:lang w:val="fr-CA"/>
        </w:rPr>
        <w:t>)</w:t>
      </w:r>
      <w:bookmarkEnd w:id="200"/>
      <w:r w:rsidRPr="0059083D">
        <w:rPr>
          <w:lang w:val="fr-CA"/>
        </w:rPr>
        <w:t xml:space="preserve"> tous autres </w:t>
      </w:r>
      <w:r w:rsidR="007C4E71" w:rsidRPr="0059083D">
        <w:rPr>
          <w:lang w:val="fr-CA"/>
        </w:rPr>
        <w:t>titres</w:t>
      </w:r>
      <w:r w:rsidR="000B08F2" w:rsidRPr="0059083D">
        <w:rPr>
          <w:lang w:val="fr-CA"/>
        </w:rPr>
        <w:t xml:space="preserve"> </w:t>
      </w:r>
      <w:r w:rsidRPr="0059083D">
        <w:rPr>
          <w:lang w:val="fr-CA"/>
        </w:rPr>
        <w:t xml:space="preserve">émis à l’égard des </w:t>
      </w:r>
      <w:r w:rsidR="007C4E71" w:rsidRPr="0059083D">
        <w:rPr>
          <w:lang w:val="fr-CA"/>
        </w:rPr>
        <w:t>titres</w:t>
      </w:r>
      <w:r w:rsidR="000B08F2" w:rsidRPr="0059083D">
        <w:rPr>
          <w:lang w:val="fr-CA"/>
        </w:rPr>
        <w:t xml:space="preserve"> </w:t>
      </w:r>
      <w:r w:rsidRPr="0059083D">
        <w:rPr>
          <w:lang w:val="fr-CA"/>
        </w:rPr>
        <w:t xml:space="preserve">mentionnés aux </w:t>
      </w:r>
      <w:r w:rsidR="000B08F2" w:rsidRPr="0059083D">
        <w:rPr>
          <w:lang w:val="fr-CA"/>
        </w:rPr>
        <w:t>clauses</w:t>
      </w:r>
      <w:bookmarkStart w:id="201" w:name="DocXTextRef158"/>
      <w:r w:rsidRPr="0059083D">
        <w:rPr>
          <w:lang w:val="fr-CA"/>
        </w:rPr>
        <w:t> </w:t>
      </w:r>
      <w:r w:rsidR="000B08F2" w:rsidRPr="0059083D">
        <w:rPr>
          <w:lang w:val="fr-CA"/>
        </w:rPr>
        <w:t>(</w:t>
      </w:r>
      <w:r w:rsidR="000B08F2" w:rsidRPr="00986BEB">
        <w:rPr>
          <w:lang w:val="fr-CA"/>
        </w:rPr>
        <w:t>i</w:t>
      </w:r>
      <w:r w:rsidR="000B08F2" w:rsidRPr="0059083D">
        <w:rPr>
          <w:lang w:val="fr-CA"/>
        </w:rPr>
        <w:t>)</w:t>
      </w:r>
      <w:bookmarkEnd w:id="201"/>
      <w:r w:rsidR="000B08F2" w:rsidRPr="0059083D">
        <w:rPr>
          <w:lang w:val="fr-CA"/>
        </w:rPr>
        <w:t xml:space="preserve"> </w:t>
      </w:r>
      <w:r w:rsidRPr="0059083D">
        <w:rPr>
          <w:lang w:val="fr-CA"/>
        </w:rPr>
        <w:t xml:space="preserve">et </w:t>
      </w:r>
      <w:bookmarkStart w:id="202" w:name="DocXTextRef162"/>
      <w:r w:rsidR="000B08F2" w:rsidRPr="0059083D">
        <w:rPr>
          <w:lang w:val="fr-CA"/>
        </w:rPr>
        <w:t>(</w:t>
      </w:r>
      <w:r w:rsidR="000B08F2" w:rsidRPr="00986BEB">
        <w:rPr>
          <w:lang w:val="fr-CA"/>
        </w:rPr>
        <w:t>ii</w:t>
      </w:r>
      <w:r w:rsidR="000B08F2" w:rsidRPr="0059083D">
        <w:rPr>
          <w:lang w:val="fr-CA"/>
        </w:rPr>
        <w:t>)</w:t>
      </w:r>
      <w:bookmarkEnd w:id="202"/>
      <w:r w:rsidRPr="0059083D">
        <w:rPr>
          <w:lang w:val="fr-CA"/>
        </w:rPr>
        <w:t xml:space="preserve"> </w:t>
      </w:r>
      <w:r w:rsidR="00F0209A">
        <w:rPr>
          <w:lang w:val="fr-CA"/>
        </w:rPr>
        <w:t>à l’occasion d’un</w:t>
      </w:r>
      <w:r w:rsidRPr="0059083D">
        <w:rPr>
          <w:lang w:val="fr-CA"/>
        </w:rPr>
        <w:t xml:space="preserve"> fractionnement d’actions, </w:t>
      </w:r>
      <w:r w:rsidR="00842C75">
        <w:rPr>
          <w:lang w:val="fr-CA"/>
        </w:rPr>
        <w:t xml:space="preserve">d’un </w:t>
      </w:r>
      <w:r w:rsidRPr="0059083D">
        <w:rPr>
          <w:lang w:val="fr-CA"/>
        </w:rPr>
        <w:t xml:space="preserve">dividende en actions, </w:t>
      </w:r>
      <w:r w:rsidR="00842C75">
        <w:rPr>
          <w:lang w:val="fr-CA"/>
        </w:rPr>
        <w:t xml:space="preserve">d’une </w:t>
      </w:r>
      <w:r w:rsidRPr="0059083D">
        <w:rPr>
          <w:lang w:val="fr-CA"/>
        </w:rPr>
        <w:t xml:space="preserve">restructuration du capital, </w:t>
      </w:r>
      <w:r w:rsidR="00842C75">
        <w:rPr>
          <w:lang w:val="fr-CA"/>
        </w:rPr>
        <w:t xml:space="preserve">d’une </w:t>
      </w:r>
      <w:r w:rsidRPr="0059083D">
        <w:rPr>
          <w:lang w:val="fr-CA"/>
        </w:rPr>
        <w:t xml:space="preserve">fusion, </w:t>
      </w:r>
      <w:r w:rsidR="00842C75">
        <w:rPr>
          <w:lang w:val="fr-CA"/>
        </w:rPr>
        <w:t xml:space="preserve">d’un </w:t>
      </w:r>
      <w:r w:rsidRPr="0059083D">
        <w:rPr>
          <w:lang w:val="fr-CA"/>
        </w:rPr>
        <w:t xml:space="preserve">regroupement ou </w:t>
      </w:r>
      <w:r w:rsidR="00842C75">
        <w:rPr>
          <w:lang w:val="fr-CA"/>
        </w:rPr>
        <w:t xml:space="preserve">d’un </w:t>
      </w:r>
      <w:r w:rsidRPr="0059083D">
        <w:rPr>
          <w:lang w:val="fr-CA"/>
        </w:rPr>
        <w:t>événement semblable</w:t>
      </w:r>
      <w:r w:rsidR="000B08F2" w:rsidRPr="0059083D">
        <w:rPr>
          <w:lang w:val="fr-CA"/>
        </w:rPr>
        <w:t xml:space="preserve"> </w:t>
      </w:r>
      <w:r w:rsidR="00842C75">
        <w:rPr>
          <w:lang w:val="fr-CA"/>
        </w:rPr>
        <w:t xml:space="preserve">doit </w:t>
      </w:r>
      <w:r w:rsidR="000B08F2" w:rsidRPr="0059083D">
        <w:rPr>
          <w:lang w:val="fr-CA"/>
        </w:rPr>
        <w:t>(</w:t>
      </w:r>
      <w:r w:rsidRPr="0059083D">
        <w:rPr>
          <w:lang w:val="fr-CA"/>
        </w:rPr>
        <w:t xml:space="preserve">sauf </w:t>
      </w:r>
      <w:r w:rsidRPr="00F0209A">
        <w:rPr>
          <w:lang w:val="fr-CA"/>
        </w:rPr>
        <w:t>disposition contraire</w:t>
      </w:r>
      <w:r w:rsidRPr="0059083D">
        <w:rPr>
          <w:lang w:val="fr-CA"/>
        </w:rPr>
        <w:t xml:space="preserve"> de l’</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_Ref448380591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2.12c)</w:t>
      </w:r>
      <w:r w:rsidR="000B08F2" w:rsidRPr="00986BEB">
        <w:rPr>
          <w:u w:val="single"/>
          <w:lang w:val="fr-CA"/>
        </w:rPr>
        <w:fldChar w:fldCharType="end"/>
      </w:r>
      <w:r w:rsidR="000B08F2" w:rsidRPr="0059083D">
        <w:rPr>
          <w:lang w:val="fr-CA"/>
        </w:rPr>
        <w:t xml:space="preserve">) </w:t>
      </w:r>
      <w:r w:rsidRPr="0059083D">
        <w:rPr>
          <w:lang w:val="fr-CA"/>
        </w:rPr>
        <w:t>porter une mention semblable pour l’essentiel à la suivant</w:t>
      </w:r>
      <w:r w:rsidR="00842C75">
        <w:rPr>
          <w:lang w:val="fr-CA"/>
        </w:rPr>
        <w:t>e</w:t>
      </w:r>
      <w:r w:rsidRPr="0059083D">
        <w:rPr>
          <w:lang w:val="fr-CA"/>
        </w:rPr>
        <w:t> </w:t>
      </w:r>
      <w:r w:rsidR="000B08F2" w:rsidRPr="0059083D">
        <w:rPr>
          <w:lang w:val="fr-CA"/>
        </w:rPr>
        <w:t>:</w:t>
      </w:r>
      <w:bookmarkEnd w:id="197"/>
    </w:p>
    <w:p w14:paraId="1B586C4C" w14:textId="7A7C11C9" w:rsidR="00037C7E" w:rsidRPr="0059083D" w:rsidRDefault="00365C77">
      <w:pPr>
        <w:pStyle w:val="Quote"/>
        <w:rPr>
          <w:lang w:val="fr-CA"/>
        </w:rPr>
      </w:pPr>
      <w:r w:rsidRPr="009D4254">
        <w:rPr>
          <w:lang w:val="fr-CA"/>
        </w:rPr>
        <w:t xml:space="preserve">SAUF DISPOSITION CONTRAIRE DE LA LÉGISLATION EN VALEURS MOBILIÈRES, LE PORTEUR DU TITRE DOIT LE CONSERVER DURANT UN DÉLAI DE QUATRE MOIS PLUS UN JOUR APRÈS LA PLUS ÉLOIGNÉE DES DATES SUIVANTES : </w:t>
      </w:r>
      <w:bookmarkStart w:id="203" w:name="DocXTextRef163"/>
      <w:r w:rsidR="000B08F2" w:rsidRPr="009D4254">
        <w:rPr>
          <w:lang w:val="fr-CA"/>
        </w:rPr>
        <w:t>(</w:t>
      </w:r>
      <w:r w:rsidR="000B08F2" w:rsidRPr="00986BEB">
        <w:rPr>
          <w:lang w:val="fr-CA"/>
        </w:rPr>
        <w:t>i</w:t>
      </w:r>
      <w:r w:rsidR="000B08F2" w:rsidRPr="009D4254">
        <w:rPr>
          <w:lang w:val="fr-CA"/>
        </w:rPr>
        <w:t>)</w:t>
      </w:r>
      <w:bookmarkEnd w:id="203"/>
      <w:r w:rsidR="000B08F2" w:rsidRPr="009D4254">
        <w:rPr>
          <w:lang w:val="fr-CA"/>
        </w:rPr>
        <w:t xml:space="preserve"> </w:t>
      </w:r>
      <w:r w:rsidR="000B08F2" w:rsidRPr="009D4254">
        <w:rPr>
          <w:i/>
          <w:lang w:val="fr-CA"/>
        </w:rPr>
        <w:t>[</w:t>
      </w:r>
      <w:r w:rsidRPr="009D4254">
        <w:rPr>
          <w:i/>
          <w:lang w:val="fr-CA"/>
        </w:rPr>
        <w:t>indiquer ici la date du placement</w:t>
      </w:r>
      <w:bookmarkStart w:id="204" w:name="_Ref448380705"/>
      <w:r w:rsidR="000B08F2" w:rsidRPr="00986BEB">
        <w:rPr>
          <w:rStyle w:val="FootnoteReference"/>
          <w:szCs w:val="16"/>
          <w:lang w:val="fr-CA"/>
        </w:rPr>
        <w:footnoteReference w:id="35"/>
      </w:r>
      <w:bookmarkEnd w:id="204"/>
      <w:r w:rsidR="0068220B" w:rsidRPr="009D4254">
        <w:rPr>
          <w:i/>
          <w:lang w:val="fr-CA"/>
        </w:rPr>
        <w:t>]</w:t>
      </w:r>
      <w:r w:rsidR="000B08F2" w:rsidRPr="009D4254">
        <w:rPr>
          <w:lang w:val="fr-CA"/>
        </w:rPr>
        <w:t xml:space="preserve"> </w:t>
      </w:r>
      <w:r w:rsidRPr="009D4254">
        <w:rPr>
          <w:lang w:val="fr-CA"/>
        </w:rPr>
        <w:t>OU</w:t>
      </w:r>
      <w:r w:rsidR="000B08F2" w:rsidRPr="009D4254">
        <w:rPr>
          <w:lang w:val="fr-CA"/>
        </w:rPr>
        <w:t xml:space="preserve"> </w:t>
      </w:r>
      <w:bookmarkStart w:id="205" w:name="DocXTextRef164"/>
      <w:r w:rsidR="000B08F2" w:rsidRPr="009D4254">
        <w:rPr>
          <w:lang w:val="fr-CA"/>
        </w:rPr>
        <w:t>(</w:t>
      </w:r>
      <w:r w:rsidR="000B08F2" w:rsidRPr="00986BEB">
        <w:rPr>
          <w:lang w:val="fr-CA"/>
        </w:rPr>
        <w:t>ii</w:t>
      </w:r>
      <w:r w:rsidR="000B08F2" w:rsidRPr="009D4254">
        <w:rPr>
          <w:lang w:val="fr-CA"/>
        </w:rPr>
        <w:t>)</w:t>
      </w:r>
      <w:bookmarkEnd w:id="205"/>
      <w:r w:rsidRPr="009D4254">
        <w:rPr>
          <w:lang w:val="fr-CA"/>
        </w:rPr>
        <w:t> LA DATE OÙ LA SOCIÉTÉ EST DEVENUE ÉMETTEUR ASSUJETTI DANS UNE PROVINCE OU UN TERRITOIRE</w:t>
      </w:r>
      <w:r w:rsidR="000B08F2" w:rsidRPr="009D4254">
        <w:rPr>
          <w:lang w:val="fr-CA"/>
        </w:rPr>
        <w:t>.</w:t>
      </w:r>
    </w:p>
    <w:p w14:paraId="2A3F55C9" w14:textId="13A6294B" w:rsidR="00037C7E" w:rsidRPr="0059083D" w:rsidRDefault="00365C77">
      <w:pPr>
        <w:pStyle w:val="Quote"/>
        <w:rPr>
          <w:color w:val="000000"/>
          <w:lang w:val="fr-CA"/>
        </w:rPr>
      </w:pPr>
      <w:r w:rsidRPr="009D4254">
        <w:rPr>
          <w:lang w:val="fr-CA"/>
        </w:rPr>
        <w:t xml:space="preserve">LES TITRES REPRÉSENTÉS PAR LES PRÉSENTES ONT ÉTÉ ACQUIS À DES FINS DE PLACEMENT ET N’ONT PAS ÉTÉ INSCRITS EN VERTU DE LA </w:t>
      </w:r>
      <w:r w:rsidRPr="009D4254">
        <w:rPr>
          <w:i/>
          <w:iCs w:val="0"/>
          <w:lang w:val="fr-CA"/>
        </w:rPr>
        <w:t xml:space="preserve">SECURITIES ACT OF </w:t>
      </w:r>
      <w:r w:rsidRPr="00986BEB">
        <w:rPr>
          <w:i/>
          <w:iCs w:val="0"/>
          <w:lang w:val="fr-CA"/>
        </w:rPr>
        <w:t>1933</w:t>
      </w:r>
      <w:r w:rsidRPr="009D4254">
        <w:rPr>
          <w:lang w:val="fr-CA"/>
        </w:rPr>
        <w:t>.</w:t>
      </w:r>
      <w:r w:rsidR="000B08F2" w:rsidRPr="0059083D">
        <w:rPr>
          <w:lang w:val="fr-CA"/>
        </w:rPr>
        <w:t xml:space="preserve"> </w:t>
      </w:r>
      <w:r w:rsidRPr="0059083D">
        <w:rPr>
          <w:lang w:val="fr-CA"/>
        </w:rPr>
        <w:t xml:space="preserve">ILS NE PEUVENT ÊTRE VENDUS, DONNÉS EN GAGE NI TRANSFÉRÉS À MOINS D’ÊTRE INSCRITS OU DE FAIRE L’OBJET D’UNE DISPENSE </w:t>
      </w:r>
      <w:r w:rsidR="006F0E81">
        <w:rPr>
          <w:lang w:val="fr-CA"/>
        </w:rPr>
        <w:t xml:space="preserve">VALIDE </w:t>
      </w:r>
      <w:r w:rsidRPr="0059083D">
        <w:rPr>
          <w:lang w:val="fr-CA"/>
        </w:rPr>
        <w:t>DES EXIGENCES D’INSCRIPTION ET DE TRANSMISSION DU PROSPECTUS PRÉVUES PAR CETTE LOI</w:t>
      </w:r>
      <w:r w:rsidR="000B08F2" w:rsidRPr="0059083D">
        <w:rPr>
          <w:lang w:val="fr-CA"/>
        </w:rPr>
        <w:t>.</w:t>
      </w:r>
    </w:p>
    <w:p w14:paraId="5ACAC002" w14:textId="056B9C5D" w:rsidR="00037C7E" w:rsidRPr="0059083D" w:rsidRDefault="00365C77">
      <w:pPr>
        <w:pStyle w:val="Qutoe"/>
        <w:spacing w:after="240"/>
        <w:rPr>
          <w:color w:val="000000"/>
          <w:lang w:val="fr-CA"/>
        </w:rPr>
      </w:pPr>
      <w:r w:rsidRPr="0059083D">
        <w:rPr>
          <w:lang w:val="fr-CA"/>
        </w:rPr>
        <w:t xml:space="preserve">LES TITRES REPRÉSENTÉS PAR LES PRÉSENTES NE PEUVENT ÊTRE TRANSFÉRÉS QU’EN CONFORMITÉ AVEC LES MODALITÉS D’UNE ENTENTE ENTRE LA SOCIÉTÉ ET L’ACTIONNAIRE, DONT UN EXEMPLAIRE </w:t>
      </w:r>
      <w:r w:rsidR="006F0E81">
        <w:rPr>
          <w:lang w:val="fr-CA"/>
        </w:rPr>
        <w:t>A ÉTÉ</w:t>
      </w:r>
      <w:r w:rsidRPr="0059083D">
        <w:rPr>
          <w:lang w:val="fr-CA"/>
        </w:rPr>
        <w:t xml:space="preserve"> DÉPOSÉ AUPRÈS DU SECRÉTAIRE DE LA SOCIÉTÉ</w:t>
      </w:r>
      <w:r w:rsidR="000B08F2" w:rsidRPr="0059083D">
        <w:rPr>
          <w:lang w:val="fr-CA"/>
        </w:rPr>
        <w:t>.</w:t>
      </w:r>
    </w:p>
    <w:p w14:paraId="2F34EB36" w14:textId="3DE24340" w:rsidR="00037C7E" w:rsidRPr="0059083D" w:rsidRDefault="00365C77">
      <w:pPr>
        <w:pStyle w:val="StandardCont2"/>
        <w:rPr>
          <w:lang w:val="fr-CA"/>
        </w:rPr>
      </w:pPr>
      <w:r w:rsidRPr="009D4254">
        <w:rPr>
          <w:lang w:val="fr-CA"/>
        </w:rPr>
        <w:t xml:space="preserve">Les </w:t>
      </w:r>
      <w:r w:rsidR="00E043C9" w:rsidRPr="009D4254">
        <w:rPr>
          <w:lang w:val="fr-CA"/>
        </w:rPr>
        <w:t>Porteurs</w:t>
      </w:r>
      <w:r w:rsidR="000B08F2" w:rsidRPr="009D4254">
        <w:rPr>
          <w:lang w:val="fr-CA"/>
        </w:rPr>
        <w:t xml:space="preserve"> </w:t>
      </w:r>
      <w:r w:rsidRPr="009D4254">
        <w:rPr>
          <w:lang w:val="fr-CA"/>
        </w:rPr>
        <w:t xml:space="preserve">consentent à ce que </w:t>
      </w:r>
      <w:r w:rsidR="000B08F2" w:rsidRPr="009D4254">
        <w:rPr>
          <w:lang w:val="fr-CA"/>
        </w:rPr>
        <w:t xml:space="preserve">la Société </w:t>
      </w:r>
      <w:r w:rsidRPr="009D4254">
        <w:rPr>
          <w:lang w:val="fr-CA"/>
        </w:rPr>
        <w:t xml:space="preserve">inscrive une note dans ses registres et donne des instructions à tout agent des transferts des </w:t>
      </w:r>
      <w:r w:rsidR="002A0F83" w:rsidRPr="009D4254">
        <w:rPr>
          <w:lang w:val="fr-CA"/>
        </w:rPr>
        <w:t>Titres de négociation restreinte</w:t>
      </w:r>
      <w:r w:rsidR="000B08F2" w:rsidRPr="009D4254">
        <w:rPr>
          <w:lang w:val="fr-CA"/>
        </w:rPr>
        <w:t xml:space="preserve"> </w:t>
      </w:r>
      <w:r w:rsidRPr="009D4254">
        <w:rPr>
          <w:lang w:val="fr-CA"/>
        </w:rPr>
        <w:t xml:space="preserve">afin que les restrictions au transfert prévues au </w:t>
      </w:r>
      <w:r w:rsidR="0006561D"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_Ref448380588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2.12</w:t>
      </w:r>
      <w:r w:rsidR="000B08F2" w:rsidRPr="00986BEB">
        <w:rPr>
          <w:u w:val="single"/>
          <w:lang w:val="fr-CA"/>
        </w:rPr>
        <w:fldChar w:fldCharType="end"/>
      </w:r>
      <w:r w:rsidRPr="0059083D">
        <w:rPr>
          <w:lang w:val="fr-CA"/>
        </w:rPr>
        <w:t xml:space="preserve"> soient appliquées</w:t>
      </w:r>
      <w:r w:rsidR="000B08F2" w:rsidRPr="009D4254">
        <w:rPr>
          <w:szCs w:val="16"/>
          <w:lang w:val="fr-CA"/>
        </w:rPr>
        <w:t>.</w:t>
      </w:r>
    </w:p>
    <w:p w14:paraId="1C305255" w14:textId="6596B1F9" w:rsidR="00037C7E" w:rsidRPr="00986BEB" w:rsidRDefault="00365C77">
      <w:pPr>
        <w:pStyle w:val="StandardL3"/>
        <w:rPr>
          <w:lang w:val="fr-CA"/>
        </w:rPr>
      </w:pPr>
      <w:bookmarkStart w:id="206" w:name="_Ref448380591"/>
      <w:r w:rsidRPr="0059083D">
        <w:rPr>
          <w:lang w:val="fr-CA"/>
        </w:rPr>
        <w:t xml:space="preserve">Lorsqu’il en accepte la propriété, le porteur des </w:t>
      </w:r>
      <w:r w:rsidR="002A0F83" w:rsidRPr="0059083D">
        <w:rPr>
          <w:lang w:val="fr-CA"/>
        </w:rPr>
        <w:t>Titres de négociation restreinte</w:t>
      </w:r>
      <w:r w:rsidRPr="0059083D">
        <w:rPr>
          <w:lang w:val="fr-CA"/>
        </w:rPr>
        <w:t xml:space="preserve"> s’engage à respecter à tous égards les dispositions du présent </w:t>
      </w:r>
      <w:r w:rsidR="0006561D" w:rsidRPr="0059083D">
        <w:rPr>
          <w:snapToGrid w:val="0"/>
          <w:u w:val="single"/>
          <w:lang w:val="fr-CA"/>
        </w:rPr>
        <w:t>article </w:t>
      </w:r>
      <w:r w:rsidR="000B08F2" w:rsidRPr="00986BEB">
        <w:rPr>
          <w:snapToGrid w:val="0"/>
          <w:u w:val="single"/>
          <w:lang w:val="fr-CA"/>
        </w:rPr>
        <w:fldChar w:fldCharType="begin"/>
      </w:r>
      <w:r w:rsidR="000B08F2" w:rsidRPr="00986BEB">
        <w:rPr>
          <w:snapToGrid w:val="0"/>
          <w:u w:val="single"/>
          <w:lang w:val="fr-CA"/>
        </w:rPr>
        <w:instrText xml:space="preserve"> REF _Ref448381565 \w \h </w:instrText>
      </w:r>
      <w:r w:rsidR="009960DB" w:rsidRPr="00986BEB">
        <w:rPr>
          <w:snapToGrid w:val="0"/>
          <w:u w:val="single"/>
          <w:lang w:val="fr-CA"/>
        </w:rPr>
        <w:instrText xml:space="preserve"> \* MERGEFORMAT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2</w:t>
      </w:r>
      <w:r w:rsidR="000B08F2" w:rsidRPr="00986BEB">
        <w:rPr>
          <w:snapToGrid w:val="0"/>
          <w:u w:val="single"/>
          <w:lang w:val="fr-CA"/>
        </w:rPr>
        <w:fldChar w:fldCharType="end"/>
      </w:r>
      <w:r w:rsidR="000B08F2" w:rsidRPr="0059083D">
        <w:rPr>
          <w:lang w:val="fr-CA"/>
        </w:rPr>
        <w:t xml:space="preserve">. </w:t>
      </w:r>
      <w:r w:rsidRPr="0059083D">
        <w:rPr>
          <w:lang w:val="fr-CA"/>
        </w:rPr>
        <w:t xml:space="preserve">Avant toute vente, toute mise en gage ou tout transfert </w:t>
      </w:r>
      <w:r w:rsidR="006F0E81">
        <w:rPr>
          <w:lang w:val="fr-CA"/>
        </w:rPr>
        <w:t xml:space="preserve">proposé </w:t>
      </w:r>
      <w:r w:rsidRPr="0059083D">
        <w:rPr>
          <w:lang w:val="fr-CA"/>
        </w:rPr>
        <w:t xml:space="preserve">de </w:t>
      </w:r>
      <w:r w:rsidR="002A0F83" w:rsidRPr="0059083D">
        <w:rPr>
          <w:lang w:val="fr-CA"/>
        </w:rPr>
        <w:t>Titres de négociation restreinte</w:t>
      </w:r>
      <w:r w:rsidR="000B08F2" w:rsidRPr="0059083D">
        <w:rPr>
          <w:lang w:val="fr-CA"/>
        </w:rPr>
        <w:t xml:space="preserve">, </w:t>
      </w:r>
      <w:r w:rsidRPr="0059083D">
        <w:rPr>
          <w:lang w:val="fr-CA"/>
        </w:rPr>
        <w:t xml:space="preserve">à moins qu’une </w:t>
      </w:r>
      <w:r w:rsidR="002A0F83" w:rsidRPr="0059083D">
        <w:rPr>
          <w:lang w:val="fr-CA"/>
        </w:rPr>
        <w:t>déclaration d’inscription</w:t>
      </w:r>
      <w:r w:rsidR="000B08F2" w:rsidRPr="0059083D">
        <w:rPr>
          <w:lang w:val="fr-CA"/>
        </w:rPr>
        <w:t xml:space="preserve"> </w:t>
      </w:r>
      <w:r w:rsidRPr="0059083D">
        <w:rPr>
          <w:lang w:val="fr-CA"/>
        </w:rPr>
        <w:t xml:space="preserve">applicable à l’opération proposée ne soit en vigueur en vertu de </w:t>
      </w:r>
      <w:r w:rsidR="00F52467" w:rsidRPr="0059083D">
        <w:rPr>
          <w:lang w:val="fr-CA"/>
        </w:rPr>
        <w:t>la Loi</w:t>
      </w:r>
      <w:r w:rsidR="00E66D76">
        <w:rPr>
          <w:lang w:val="fr-CA"/>
        </w:rPr>
        <w:t> </w:t>
      </w:r>
      <w:r w:rsidR="00F52467" w:rsidRPr="0059083D">
        <w:rPr>
          <w:lang w:val="fr-CA"/>
        </w:rPr>
        <w:t>de</w:t>
      </w:r>
      <w:r w:rsidR="00E66D76">
        <w:rPr>
          <w:lang w:val="fr-CA"/>
        </w:rPr>
        <w:t> </w:t>
      </w:r>
      <w:r w:rsidR="00F52467" w:rsidRPr="00986BEB">
        <w:rPr>
          <w:lang w:val="fr-CA"/>
        </w:rPr>
        <w:t>1933</w:t>
      </w:r>
      <w:r w:rsidR="000B08F2" w:rsidRPr="0059083D">
        <w:rPr>
          <w:lang w:val="fr-CA"/>
        </w:rPr>
        <w:t xml:space="preserve"> </w:t>
      </w:r>
      <w:r w:rsidRPr="0059083D">
        <w:rPr>
          <w:lang w:val="fr-CA"/>
        </w:rPr>
        <w:t xml:space="preserve">ou des </w:t>
      </w:r>
      <w:r w:rsidR="0006561D" w:rsidRPr="0059083D">
        <w:rPr>
          <w:lang w:val="fr-CA"/>
        </w:rPr>
        <w:t>Lois sur les valeurs mobilières canadiennes</w:t>
      </w:r>
      <w:r w:rsidR="000B08F2" w:rsidRPr="0059083D">
        <w:rPr>
          <w:lang w:val="fr-CA"/>
        </w:rPr>
        <w:t xml:space="preserve"> [</w:t>
      </w:r>
      <w:r w:rsidRPr="0059083D">
        <w:rPr>
          <w:lang w:val="fr-CA"/>
        </w:rPr>
        <w:t>ou</w:t>
      </w:r>
      <w:r w:rsidR="006F0E81">
        <w:rPr>
          <w:lang w:val="fr-CA"/>
        </w:rPr>
        <w:t>,</w:t>
      </w:r>
      <w:r w:rsidRPr="0059083D">
        <w:rPr>
          <w:lang w:val="fr-CA"/>
        </w:rPr>
        <w:t xml:space="preserve"> à la suite du PAPE</w:t>
      </w:r>
      <w:r w:rsidR="000B08F2" w:rsidRPr="0059083D">
        <w:rPr>
          <w:lang w:val="fr-CA"/>
        </w:rPr>
        <w:t xml:space="preserve">, </w:t>
      </w:r>
      <w:r w:rsidR="006F0E81">
        <w:rPr>
          <w:lang w:val="fr-CA"/>
        </w:rPr>
        <w:t xml:space="preserve">que </w:t>
      </w:r>
      <w:r w:rsidRPr="0059083D">
        <w:rPr>
          <w:lang w:val="fr-CA"/>
        </w:rPr>
        <w:t xml:space="preserve">le transfert </w:t>
      </w:r>
      <w:r w:rsidR="006F0E81">
        <w:rPr>
          <w:lang w:val="fr-CA"/>
        </w:rPr>
        <w:t xml:space="preserve">ne soit </w:t>
      </w:r>
      <w:r w:rsidRPr="0059083D">
        <w:rPr>
          <w:lang w:val="fr-CA"/>
        </w:rPr>
        <w:t xml:space="preserve">effectué conformément à la </w:t>
      </w:r>
      <w:r w:rsidR="00A45E89" w:rsidRPr="0059083D">
        <w:rPr>
          <w:lang w:val="fr-CA"/>
        </w:rPr>
        <w:t>Règle </w:t>
      </w:r>
      <w:r w:rsidR="00A45E89" w:rsidRPr="00986BEB">
        <w:rPr>
          <w:lang w:val="fr-CA"/>
        </w:rPr>
        <w:t>144</w:t>
      </w:r>
      <w:r w:rsidR="00A45E89" w:rsidRPr="0059083D">
        <w:rPr>
          <w:lang w:val="fr-CA"/>
        </w:rPr>
        <w:t xml:space="preserve"> de la SEC</w:t>
      </w:r>
      <w:r w:rsidR="000B08F2" w:rsidRPr="0059083D">
        <w:rPr>
          <w:lang w:val="fr-CA"/>
        </w:rPr>
        <w:t xml:space="preserve"> </w:t>
      </w:r>
      <w:r w:rsidRPr="0059083D">
        <w:rPr>
          <w:lang w:val="fr-CA"/>
        </w:rPr>
        <w:t>ou au Règlement </w:t>
      </w:r>
      <w:r w:rsidRPr="00986BEB">
        <w:rPr>
          <w:lang w:val="fr-CA"/>
        </w:rPr>
        <w:t>45-102</w:t>
      </w:r>
      <w:r w:rsidR="000B08F2" w:rsidRPr="0059083D">
        <w:rPr>
          <w:lang w:val="fr-CA"/>
        </w:rPr>
        <w:t xml:space="preserve">], </w:t>
      </w:r>
      <w:r w:rsidRPr="0059083D">
        <w:rPr>
          <w:lang w:val="fr-CA"/>
        </w:rPr>
        <w:t xml:space="preserve">le </w:t>
      </w:r>
      <w:r w:rsidR="0006561D" w:rsidRPr="0059083D">
        <w:rPr>
          <w:lang w:val="fr-CA"/>
        </w:rPr>
        <w:t>Porteur</w:t>
      </w:r>
      <w:r w:rsidR="000B08F2" w:rsidRPr="0059083D">
        <w:rPr>
          <w:lang w:val="fr-CA"/>
        </w:rPr>
        <w:t xml:space="preserve"> </w:t>
      </w:r>
      <w:r w:rsidRPr="0059083D">
        <w:rPr>
          <w:lang w:val="fr-CA"/>
        </w:rPr>
        <w:t>de ces titres donne à la Société un avis de son intention d’effectuer cette vente, cette mise en gage ou ce transfert</w:t>
      </w:r>
      <w:bookmarkStart w:id="207" w:name="_cp_text_1_74"/>
      <w:r w:rsidR="00D86894" w:rsidRPr="0059083D">
        <w:rPr>
          <w:szCs w:val="24"/>
          <w:lang w:val="fr-CA"/>
        </w:rPr>
        <w:t>[</w:t>
      </w:r>
      <w:r w:rsidR="005D2B5D">
        <w:rPr>
          <w:szCs w:val="24"/>
          <w:lang w:val="fr-CA"/>
        </w:rPr>
        <w:t>;</w:t>
      </w:r>
      <w:r w:rsidR="00D86894" w:rsidRPr="0059083D">
        <w:rPr>
          <w:szCs w:val="24"/>
          <w:lang w:val="fr-CA"/>
        </w:rPr>
        <w:t xml:space="preserve"> </w:t>
      </w:r>
      <w:r w:rsidR="005D2B5D">
        <w:rPr>
          <w:szCs w:val="24"/>
          <w:u w:val="single"/>
          <w:lang w:val="fr-CA"/>
        </w:rPr>
        <w:t>toutefois</w:t>
      </w:r>
      <w:r w:rsidR="005D2B5D">
        <w:rPr>
          <w:szCs w:val="24"/>
          <w:lang w:val="fr-CA"/>
        </w:rPr>
        <w:t xml:space="preserve">, </w:t>
      </w:r>
      <w:r w:rsidRPr="0059083D">
        <w:rPr>
          <w:szCs w:val="24"/>
          <w:lang w:val="fr-CA"/>
        </w:rPr>
        <w:t xml:space="preserve">un tel avis n’est </w:t>
      </w:r>
      <w:r w:rsidR="005D2B5D">
        <w:rPr>
          <w:szCs w:val="24"/>
          <w:lang w:val="fr-CA"/>
        </w:rPr>
        <w:t xml:space="preserve">pas </w:t>
      </w:r>
      <w:r w:rsidRPr="0059083D">
        <w:rPr>
          <w:szCs w:val="24"/>
          <w:lang w:val="fr-CA"/>
        </w:rPr>
        <w:t xml:space="preserve">requis si la vente, la mise en gage ou le transfert proposé est conforme à la </w:t>
      </w:r>
      <w:r w:rsidR="00A45E89" w:rsidRPr="0059083D">
        <w:rPr>
          <w:szCs w:val="24"/>
          <w:lang w:val="fr-CA"/>
        </w:rPr>
        <w:t>Règle </w:t>
      </w:r>
      <w:r w:rsidR="00A45E89" w:rsidRPr="00986BEB">
        <w:rPr>
          <w:szCs w:val="24"/>
          <w:lang w:val="fr-CA"/>
        </w:rPr>
        <w:t>144</w:t>
      </w:r>
      <w:r w:rsidR="00A45E89" w:rsidRPr="0059083D">
        <w:rPr>
          <w:szCs w:val="24"/>
          <w:lang w:val="fr-CA"/>
        </w:rPr>
        <w:t xml:space="preserve"> de la SEC</w:t>
      </w:r>
      <w:r w:rsidR="00D86894" w:rsidRPr="0059083D">
        <w:rPr>
          <w:szCs w:val="24"/>
          <w:lang w:val="fr-CA"/>
        </w:rPr>
        <w:t xml:space="preserve"> </w:t>
      </w:r>
      <w:r w:rsidRPr="0059083D">
        <w:rPr>
          <w:szCs w:val="24"/>
          <w:lang w:val="fr-CA"/>
        </w:rPr>
        <w:t>ou au Règlement </w:t>
      </w:r>
      <w:r w:rsidRPr="00986BEB">
        <w:rPr>
          <w:szCs w:val="24"/>
          <w:lang w:val="fr-CA"/>
        </w:rPr>
        <w:t>45-102</w:t>
      </w:r>
      <w:r w:rsidR="00D86894" w:rsidRPr="0059083D">
        <w:rPr>
          <w:szCs w:val="24"/>
          <w:lang w:val="fr-CA"/>
        </w:rPr>
        <w:t>]</w:t>
      </w:r>
      <w:bookmarkEnd w:id="207"/>
      <w:r w:rsidR="000B08F2" w:rsidRPr="0059083D">
        <w:rPr>
          <w:lang w:val="fr-CA"/>
        </w:rPr>
        <w:t xml:space="preserve">. </w:t>
      </w:r>
      <w:r w:rsidRPr="0059083D">
        <w:rPr>
          <w:lang w:val="fr-CA"/>
        </w:rPr>
        <w:t xml:space="preserve">Cet avis doit décrire de façon suffisamment détaillée les modalités et les circonstances de la vente, de la mise en gage ou du transfert proposé et, si la Société le demande </w:t>
      </w:r>
      <w:r w:rsidR="007C4E71" w:rsidRPr="0059083D">
        <w:rPr>
          <w:lang w:val="fr-CA"/>
        </w:rPr>
        <w:t>raisonnablement</w:t>
      </w:r>
      <w:r w:rsidR="000B08F2" w:rsidRPr="0059083D">
        <w:rPr>
          <w:lang w:val="fr-CA"/>
        </w:rPr>
        <w:t xml:space="preserve"> </w:t>
      </w:r>
      <w:r w:rsidRPr="0059083D">
        <w:rPr>
          <w:lang w:val="fr-CA"/>
        </w:rPr>
        <w:t xml:space="preserve">à l’égard d’un Porteur </w:t>
      </w:r>
      <w:r w:rsidR="005D2B5D">
        <w:rPr>
          <w:lang w:val="fr-CA"/>
        </w:rPr>
        <w:t xml:space="preserve">qui est assujetti aux </w:t>
      </w:r>
      <w:r w:rsidRPr="0059083D">
        <w:rPr>
          <w:lang w:val="fr-CA"/>
        </w:rPr>
        <w:t xml:space="preserve">lois sur les valeurs mobilières américaines, il doit être accompagné de l’un des documents suivants, obtenu aux frais du </w:t>
      </w:r>
      <w:r w:rsidR="0006561D" w:rsidRPr="0059083D">
        <w:rPr>
          <w:lang w:val="fr-CA"/>
        </w:rPr>
        <w:t>Porteur</w:t>
      </w:r>
      <w:r w:rsidRPr="0059083D">
        <w:rPr>
          <w:lang w:val="fr-CA"/>
        </w:rPr>
        <w:t> :</w:t>
      </w:r>
      <w:r w:rsidR="000B08F2" w:rsidRPr="0059083D">
        <w:rPr>
          <w:lang w:val="fr-CA"/>
        </w:rPr>
        <w:t xml:space="preserve"> </w:t>
      </w:r>
      <w:bookmarkStart w:id="208" w:name="DocXTextRef170"/>
      <w:r w:rsidR="000B08F2" w:rsidRPr="0059083D">
        <w:rPr>
          <w:lang w:val="fr-CA"/>
        </w:rPr>
        <w:t>(</w:t>
      </w:r>
      <w:r w:rsidR="000B08F2" w:rsidRPr="00986BEB">
        <w:rPr>
          <w:lang w:val="fr-CA"/>
        </w:rPr>
        <w:t>i</w:t>
      </w:r>
      <w:r w:rsidR="000B08F2" w:rsidRPr="0059083D">
        <w:rPr>
          <w:lang w:val="fr-CA"/>
        </w:rPr>
        <w:t>)</w:t>
      </w:r>
      <w:bookmarkEnd w:id="208"/>
      <w:r w:rsidRPr="0059083D">
        <w:rPr>
          <w:lang w:val="fr-CA"/>
        </w:rPr>
        <w:t xml:space="preserve"> un avis </w:t>
      </w:r>
      <w:r w:rsidR="009960DB" w:rsidRPr="0059083D">
        <w:rPr>
          <w:lang w:val="fr-CA"/>
        </w:rPr>
        <w:t xml:space="preserve">juridique </w:t>
      </w:r>
      <w:r w:rsidRPr="0059083D">
        <w:rPr>
          <w:lang w:val="fr-CA"/>
        </w:rPr>
        <w:t xml:space="preserve">écrit jugé raisonnablement satisfaisant par la Société, </w:t>
      </w:r>
      <w:r w:rsidR="00234E82" w:rsidRPr="0059083D">
        <w:rPr>
          <w:lang w:val="fr-CA"/>
        </w:rPr>
        <w:t xml:space="preserve">adressé à la Société </w:t>
      </w:r>
      <w:r w:rsidR="00234E82">
        <w:rPr>
          <w:lang w:val="fr-CA"/>
        </w:rPr>
        <w:t xml:space="preserve">par </w:t>
      </w:r>
      <w:r w:rsidRPr="0059083D">
        <w:rPr>
          <w:lang w:val="fr-CA"/>
        </w:rPr>
        <w:t xml:space="preserve">un conseiller juridique jugé raisonnablement satisfaisant par la Société, selon lequel l’opération </w:t>
      </w:r>
      <w:r w:rsidR="009960DB" w:rsidRPr="0059083D">
        <w:rPr>
          <w:lang w:val="fr-CA"/>
        </w:rPr>
        <w:t>proposée</w:t>
      </w:r>
      <w:r w:rsidRPr="0059083D">
        <w:rPr>
          <w:lang w:val="fr-CA"/>
        </w:rPr>
        <w:t xml:space="preserve"> peut être effectuée sans inscription en vertu de la </w:t>
      </w:r>
      <w:r w:rsidR="00F52467" w:rsidRPr="0059083D">
        <w:rPr>
          <w:lang w:val="fr-CA"/>
        </w:rPr>
        <w:t xml:space="preserve">Loi de </w:t>
      </w:r>
      <w:r w:rsidR="00F52467" w:rsidRPr="00986BEB">
        <w:rPr>
          <w:lang w:val="fr-CA"/>
        </w:rPr>
        <w:t>1933</w:t>
      </w:r>
      <w:r w:rsidR="000B08F2" w:rsidRPr="0059083D">
        <w:rPr>
          <w:lang w:val="fr-CA"/>
        </w:rPr>
        <w:t xml:space="preserve">; </w:t>
      </w:r>
      <w:bookmarkStart w:id="209" w:name="DocXTextRef171"/>
      <w:r w:rsidR="000B08F2" w:rsidRPr="0059083D">
        <w:rPr>
          <w:lang w:val="fr-CA"/>
        </w:rPr>
        <w:t>(</w:t>
      </w:r>
      <w:r w:rsidR="000B08F2" w:rsidRPr="00986BEB">
        <w:rPr>
          <w:lang w:val="fr-CA"/>
        </w:rPr>
        <w:t>ii</w:t>
      </w:r>
      <w:r w:rsidR="000B08F2" w:rsidRPr="0059083D">
        <w:rPr>
          <w:lang w:val="fr-CA"/>
        </w:rPr>
        <w:t>)</w:t>
      </w:r>
      <w:bookmarkEnd w:id="209"/>
      <w:r w:rsidRPr="0059083D">
        <w:rPr>
          <w:lang w:val="fr-CA"/>
        </w:rPr>
        <w:t> </w:t>
      </w:r>
      <w:r w:rsidR="009960DB" w:rsidRPr="0059083D">
        <w:rPr>
          <w:lang w:val="fr-CA"/>
        </w:rPr>
        <w:t>une lett</w:t>
      </w:r>
      <w:r w:rsidR="00D03A83">
        <w:rPr>
          <w:lang w:val="fr-CA"/>
        </w:rPr>
        <w:t>r</w:t>
      </w:r>
      <w:r w:rsidR="009960DB" w:rsidRPr="0059083D">
        <w:rPr>
          <w:lang w:val="fr-CA"/>
        </w:rPr>
        <w:t xml:space="preserve">e de </w:t>
      </w:r>
      <w:r w:rsidR="000B08F2" w:rsidRPr="0059083D">
        <w:rPr>
          <w:lang w:val="fr-CA"/>
        </w:rPr>
        <w:t>« </w:t>
      </w:r>
      <w:r w:rsidR="009960DB" w:rsidRPr="0059083D">
        <w:rPr>
          <w:lang w:val="fr-CA"/>
        </w:rPr>
        <w:t>non-intervention</w:t>
      </w:r>
      <w:r w:rsidR="000B08F2" w:rsidRPr="0059083D">
        <w:rPr>
          <w:lang w:val="fr-CA"/>
        </w:rPr>
        <w:t xml:space="preserve"> » </w:t>
      </w:r>
      <w:r w:rsidR="009960DB" w:rsidRPr="0059083D">
        <w:rPr>
          <w:lang w:val="fr-CA"/>
        </w:rPr>
        <w:t xml:space="preserve">de la </w:t>
      </w:r>
      <w:r w:rsidR="000B08F2" w:rsidRPr="0059083D">
        <w:rPr>
          <w:lang w:val="fr-CA"/>
        </w:rPr>
        <w:t xml:space="preserve">SEC </w:t>
      </w:r>
      <w:r w:rsidR="009960DB" w:rsidRPr="0059083D">
        <w:rPr>
          <w:lang w:val="fr-CA"/>
        </w:rPr>
        <w:t xml:space="preserve">selon laquelle la vente, la mise en gage ou le transfert proposé des </w:t>
      </w:r>
      <w:r w:rsidR="002A0F83" w:rsidRPr="0059083D">
        <w:rPr>
          <w:lang w:val="fr-CA"/>
        </w:rPr>
        <w:t>Titres de négociation restreinte</w:t>
      </w:r>
      <w:r w:rsidR="000B08F2" w:rsidRPr="0059083D">
        <w:rPr>
          <w:lang w:val="fr-CA"/>
        </w:rPr>
        <w:t xml:space="preserve"> </w:t>
      </w:r>
      <w:r w:rsidR="009960DB" w:rsidRPr="0059083D">
        <w:rPr>
          <w:lang w:val="fr-CA"/>
        </w:rPr>
        <w:t xml:space="preserve">sans inscription ne donnera pas lieu à une recommandation du personnel de la SEC </w:t>
      </w:r>
      <w:r w:rsidR="00220502">
        <w:rPr>
          <w:lang w:val="fr-CA"/>
        </w:rPr>
        <w:t xml:space="preserve">voulant </w:t>
      </w:r>
      <w:r w:rsidR="009960DB" w:rsidRPr="0059083D">
        <w:rPr>
          <w:lang w:val="fr-CA"/>
        </w:rPr>
        <w:t>qu’une mesure soit prise à cet égard</w:t>
      </w:r>
      <w:r w:rsidR="000B08F2" w:rsidRPr="0059083D">
        <w:rPr>
          <w:lang w:val="fr-CA"/>
        </w:rPr>
        <w:t xml:space="preserve">; </w:t>
      </w:r>
      <w:r w:rsidR="009960DB" w:rsidRPr="0059083D">
        <w:rPr>
          <w:lang w:val="fr-CA"/>
        </w:rPr>
        <w:t>ou</w:t>
      </w:r>
      <w:r w:rsidR="000B08F2" w:rsidRPr="0059083D">
        <w:rPr>
          <w:lang w:val="fr-CA"/>
        </w:rPr>
        <w:t xml:space="preserve"> </w:t>
      </w:r>
      <w:bookmarkStart w:id="210" w:name="DocXTextRef172"/>
      <w:r w:rsidR="000B08F2" w:rsidRPr="0059083D">
        <w:rPr>
          <w:lang w:val="fr-CA"/>
        </w:rPr>
        <w:t>(</w:t>
      </w:r>
      <w:r w:rsidR="000B08F2" w:rsidRPr="00986BEB">
        <w:rPr>
          <w:lang w:val="fr-CA"/>
        </w:rPr>
        <w:t>iii</w:t>
      </w:r>
      <w:r w:rsidR="000B08F2" w:rsidRPr="0059083D">
        <w:rPr>
          <w:lang w:val="fr-CA"/>
        </w:rPr>
        <w:t>)</w:t>
      </w:r>
      <w:bookmarkEnd w:id="210"/>
      <w:r w:rsidR="009960DB" w:rsidRPr="0059083D">
        <w:rPr>
          <w:lang w:val="fr-CA"/>
        </w:rPr>
        <w:t xml:space="preserve"> toute autre preuve jugée raisonnablement satisfaisante par le conseiller juridique de la Société selon laquelle la vente, la mise en gage ou le transfert proposé des </w:t>
      </w:r>
      <w:r w:rsidR="002A0F83" w:rsidRPr="0059083D">
        <w:rPr>
          <w:lang w:val="fr-CA"/>
        </w:rPr>
        <w:t>Titres de négociation restreinte</w:t>
      </w:r>
      <w:r w:rsidR="000B08F2" w:rsidRPr="0059083D">
        <w:rPr>
          <w:lang w:val="fr-CA"/>
        </w:rPr>
        <w:t xml:space="preserve"> </w:t>
      </w:r>
      <w:r w:rsidR="009960DB" w:rsidRPr="0059083D">
        <w:rPr>
          <w:lang w:val="fr-CA"/>
        </w:rPr>
        <w:t xml:space="preserve">peut être effectué sans inscription 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009960DB" w:rsidRPr="0059083D">
        <w:rPr>
          <w:lang w:val="fr-CA"/>
        </w:rPr>
        <w:t xml:space="preserve">et des </w:t>
      </w:r>
      <w:r w:rsidR="001F60E8" w:rsidRPr="0059083D">
        <w:rPr>
          <w:lang w:val="fr-CA"/>
        </w:rPr>
        <w:t>Lois sur les valeurs mobilières canadiennes applicables</w:t>
      </w:r>
      <w:r w:rsidR="000B08F2" w:rsidRPr="0059083D">
        <w:rPr>
          <w:lang w:val="fr-CA"/>
        </w:rPr>
        <w:t xml:space="preserve">, </w:t>
      </w:r>
      <w:r w:rsidR="009960DB" w:rsidRPr="0059083D">
        <w:rPr>
          <w:lang w:val="fr-CA"/>
        </w:rPr>
        <w:t xml:space="preserve">après quoi le </w:t>
      </w:r>
      <w:r w:rsidR="0006561D" w:rsidRPr="0059083D">
        <w:rPr>
          <w:lang w:val="fr-CA"/>
        </w:rPr>
        <w:t>Porteur</w:t>
      </w:r>
      <w:r w:rsidR="000B08F2" w:rsidRPr="0059083D">
        <w:rPr>
          <w:lang w:val="fr-CA"/>
        </w:rPr>
        <w:t xml:space="preserve"> </w:t>
      </w:r>
      <w:r w:rsidR="009960DB" w:rsidRPr="0059083D">
        <w:rPr>
          <w:lang w:val="fr-CA"/>
        </w:rPr>
        <w:t xml:space="preserve">des </w:t>
      </w:r>
      <w:r w:rsidR="002A0F83" w:rsidRPr="0059083D">
        <w:rPr>
          <w:lang w:val="fr-CA"/>
        </w:rPr>
        <w:t>Titres de négociation restreinte</w:t>
      </w:r>
      <w:r w:rsidR="000B08F2" w:rsidRPr="0059083D">
        <w:rPr>
          <w:lang w:val="fr-CA"/>
        </w:rPr>
        <w:t xml:space="preserve"> </w:t>
      </w:r>
      <w:r w:rsidR="009960DB" w:rsidRPr="0059083D">
        <w:rPr>
          <w:lang w:val="fr-CA"/>
        </w:rPr>
        <w:t xml:space="preserve">aura le droit de vendre, de donner en gage ou de transférer les </w:t>
      </w:r>
      <w:r w:rsidR="002A0F83" w:rsidRPr="0059083D">
        <w:rPr>
          <w:lang w:val="fr-CA"/>
        </w:rPr>
        <w:t>Titres de négociation restreinte</w:t>
      </w:r>
      <w:r w:rsidR="000B08F2" w:rsidRPr="0059083D">
        <w:rPr>
          <w:lang w:val="fr-CA"/>
        </w:rPr>
        <w:t xml:space="preserve"> </w:t>
      </w:r>
      <w:r w:rsidR="009960DB" w:rsidRPr="0059083D">
        <w:rPr>
          <w:lang w:val="fr-CA"/>
        </w:rPr>
        <w:t xml:space="preserve">conformément aux modalités de l’avis qu’il a donné à </w:t>
      </w:r>
      <w:r w:rsidR="000B08F2" w:rsidRPr="0059083D">
        <w:rPr>
          <w:lang w:val="fr-CA"/>
        </w:rPr>
        <w:t xml:space="preserve">la Société. La Société </w:t>
      </w:r>
      <w:r w:rsidR="009960DB" w:rsidRPr="0059083D">
        <w:rPr>
          <w:lang w:val="fr-CA"/>
        </w:rPr>
        <w:t xml:space="preserve">n’exigera pas un tel avis, un tel avis juridique ou une telle lettre de « non-intervention » </w:t>
      </w:r>
      <w:bookmarkStart w:id="211" w:name="DocXTextRef173"/>
      <w:r w:rsidR="000B08F2" w:rsidRPr="0059083D">
        <w:rPr>
          <w:lang w:val="fr-CA"/>
        </w:rPr>
        <w:t>(</w:t>
      </w:r>
      <w:r w:rsidR="000B08F2" w:rsidRPr="00986BEB">
        <w:rPr>
          <w:lang w:val="fr-CA"/>
        </w:rPr>
        <w:t>x</w:t>
      </w:r>
      <w:r w:rsidR="000B08F2" w:rsidRPr="0059083D">
        <w:rPr>
          <w:lang w:val="fr-CA"/>
        </w:rPr>
        <w:t>)</w:t>
      </w:r>
      <w:bookmarkEnd w:id="211"/>
      <w:r w:rsidR="009960DB" w:rsidRPr="0059083D">
        <w:rPr>
          <w:lang w:val="fr-CA"/>
        </w:rPr>
        <w:t xml:space="preserve"> à l’égard d’une opération conforme à la </w:t>
      </w:r>
      <w:r w:rsidR="00A45E89" w:rsidRPr="0059083D">
        <w:rPr>
          <w:lang w:val="fr-CA"/>
        </w:rPr>
        <w:t>Règle </w:t>
      </w:r>
      <w:r w:rsidR="00A45E89" w:rsidRPr="00986BEB">
        <w:rPr>
          <w:lang w:val="fr-CA"/>
        </w:rPr>
        <w:t>144</w:t>
      </w:r>
      <w:r w:rsidR="00A45E89" w:rsidRPr="0059083D">
        <w:rPr>
          <w:lang w:val="fr-CA"/>
        </w:rPr>
        <w:t xml:space="preserve"> de la SEC</w:t>
      </w:r>
      <w:r w:rsidR="000B08F2" w:rsidRPr="0059083D">
        <w:rPr>
          <w:lang w:val="fr-CA"/>
        </w:rPr>
        <w:t xml:space="preserve"> </w:t>
      </w:r>
      <w:r w:rsidR="009960DB" w:rsidRPr="0059083D">
        <w:rPr>
          <w:lang w:val="fr-CA"/>
        </w:rPr>
        <w:t xml:space="preserve">ou au </w:t>
      </w:r>
      <w:r w:rsidRPr="0059083D">
        <w:rPr>
          <w:lang w:val="fr-CA"/>
        </w:rPr>
        <w:t>Règlement </w:t>
      </w:r>
      <w:r w:rsidRPr="00986BEB">
        <w:rPr>
          <w:lang w:val="fr-CA"/>
        </w:rPr>
        <w:t>45-102</w:t>
      </w:r>
      <w:r w:rsidR="000B08F2" w:rsidRPr="0059083D">
        <w:rPr>
          <w:lang w:val="fr-CA"/>
        </w:rPr>
        <w:t xml:space="preserve">; </w:t>
      </w:r>
      <w:r w:rsidR="009960DB" w:rsidRPr="0059083D">
        <w:rPr>
          <w:lang w:val="fr-CA"/>
        </w:rPr>
        <w:t xml:space="preserve">ni </w:t>
      </w:r>
      <w:bookmarkStart w:id="212" w:name="DocXTextRef175"/>
      <w:r w:rsidR="000B08F2" w:rsidRPr="0059083D">
        <w:rPr>
          <w:lang w:val="fr-CA"/>
        </w:rPr>
        <w:t>(</w:t>
      </w:r>
      <w:r w:rsidR="000B08F2" w:rsidRPr="00986BEB">
        <w:rPr>
          <w:lang w:val="fr-CA"/>
        </w:rPr>
        <w:t>y</w:t>
      </w:r>
      <w:r w:rsidR="000B08F2" w:rsidRPr="0059083D">
        <w:rPr>
          <w:lang w:val="fr-CA"/>
        </w:rPr>
        <w:t>)</w:t>
      </w:r>
      <w:bookmarkEnd w:id="212"/>
      <w:r w:rsidR="009960DB" w:rsidRPr="0059083D">
        <w:rPr>
          <w:lang w:val="fr-CA"/>
        </w:rPr>
        <w:t xml:space="preserve"> à l’égard d’une opération dans le cadre de laquelle le </w:t>
      </w:r>
      <w:r w:rsidR="0006561D" w:rsidRPr="0059083D">
        <w:rPr>
          <w:lang w:val="fr-CA"/>
        </w:rPr>
        <w:t>Porteur</w:t>
      </w:r>
      <w:r w:rsidR="000B08F2" w:rsidRPr="0059083D">
        <w:rPr>
          <w:lang w:val="fr-CA"/>
        </w:rPr>
        <w:t xml:space="preserve"> </w:t>
      </w:r>
      <w:r w:rsidR="009960DB" w:rsidRPr="0059083D">
        <w:rPr>
          <w:lang w:val="fr-CA"/>
        </w:rPr>
        <w:t xml:space="preserve">place des </w:t>
      </w:r>
      <w:r w:rsidR="002A0F83" w:rsidRPr="0059083D">
        <w:rPr>
          <w:lang w:val="fr-CA"/>
        </w:rPr>
        <w:t>Titres de négociation restreinte</w:t>
      </w:r>
      <w:r w:rsidR="000B08F2" w:rsidRPr="0059083D">
        <w:rPr>
          <w:lang w:val="fr-CA"/>
        </w:rPr>
        <w:t xml:space="preserve"> </w:t>
      </w:r>
      <w:r w:rsidR="009960DB" w:rsidRPr="0059083D">
        <w:rPr>
          <w:lang w:val="fr-CA"/>
        </w:rPr>
        <w:t xml:space="preserve">auprès d’un </w:t>
      </w:r>
      <w:r w:rsidR="000B08F2" w:rsidRPr="0059083D">
        <w:rPr>
          <w:lang w:val="fr-CA"/>
        </w:rPr>
        <w:t xml:space="preserve">Membre du même groupe </w:t>
      </w:r>
      <w:r w:rsidR="009960DB" w:rsidRPr="0059083D">
        <w:rPr>
          <w:lang w:val="fr-CA"/>
        </w:rPr>
        <w:t>que lui sans contrepartie,</w:t>
      </w:r>
      <w:r w:rsidR="000B08F2" w:rsidRPr="0059083D">
        <w:rPr>
          <w:lang w:val="fr-CA"/>
        </w:rPr>
        <w:t xml:space="preserve"> </w:t>
      </w:r>
      <w:r w:rsidR="009960DB" w:rsidRPr="0059083D">
        <w:rPr>
          <w:u w:val="single"/>
          <w:lang w:val="fr-CA"/>
        </w:rPr>
        <w:t>à condition</w:t>
      </w:r>
      <w:r w:rsidR="000B08F2" w:rsidRPr="0059083D">
        <w:rPr>
          <w:lang w:val="fr-CA"/>
        </w:rPr>
        <w:t>[</w:t>
      </w:r>
      <w:r w:rsidR="009960DB" w:rsidRPr="0059083D">
        <w:rPr>
          <w:lang w:val="fr-CA"/>
        </w:rPr>
        <w:t>, en ce qui concerne les transferts visés par la clause (</w:t>
      </w:r>
      <w:r w:rsidR="009960DB" w:rsidRPr="00986BEB">
        <w:rPr>
          <w:lang w:val="fr-CA"/>
        </w:rPr>
        <w:t>y</w:t>
      </w:r>
      <w:r w:rsidR="009960DB" w:rsidRPr="0059083D">
        <w:rPr>
          <w:lang w:val="fr-CA"/>
        </w:rPr>
        <w:t>) ci-dessus)</w:t>
      </w:r>
      <w:r w:rsidR="000B08F2" w:rsidRPr="0059083D">
        <w:rPr>
          <w:lang w:val="fr-CA"/>
        </w:rPr>
        <w:t xml:space="preserve">,] </w:t>
      </w:r>
      <w:r w:rsidR="00DF7621">
        <w:rPr>
          <w:lang w:val="fr-CA"/>
        </w:rPr>
        <w:t xml:space="preserve">que </w:t>
      </w:r>
      <w:r w:rsidR="009960DB" w:rsidRPr="0059083D">
        <w:rPr>
          <w:lang w:val="fr-CA"/>
        </w:rPr>
        <w:t xml:space="preserve">chaque cessionnaire accepte par écrit d’être assujetti aux modalités du présent </w:t>
      </w:r>
      <w:r w:rsidR="002A0F83" w:rsidRPr="0059083D">
        <w:rPr>
          <w:u w:val="single"/>
          <w:lang w:val="fr-CA"/>
        </w:rPr>
        <w:t>paragraphe </w:t>
      </w:r>
      <w:r w:rsidR="000B08F2" w:rsidRPr="00986BEB">
        <w:rPr>
          <w:u w:val="single"/>
          <w:lang w:val="fr-CA"/>
        </w:rPr>
        <w:fldChar w:fldCharType="begin"/>
      </w:r>
      <w:r w:rsidR="000B08F2" w:rsidRPr="00986BEB">
        <w:rPr>
          <w:u w:val="single"/>
          <w:lang w:val="fr-CA"/>
        </w:rPr>
        <w:instrText xml:space="preserve">  REF _Ref448380588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2.12</w:t>
      </w:r>
      <w:r w:rsidR="000B08F2" w:rsidRPr="00986BEB">
        <w:rPr>
          <w:u w:val="single"/>
          <w:lang w:val="fr-CA"/>
        </w:rPr>
        <w:fldChar w:fldCharType="end"/>
      </w:r>
      <w:r w:rsidR="000B08F2" w:rsidRPr="0059083D">
        <w:rPr>
          <w:lang w:val="fr-CA"/>
        </w:rPr>
        <w:t xml:space="preserve">. </w:t>
      </w:r>
      <w:r w:rsidR="009960DB" w:rsidRPr="0059083D">
        <w:rPr>
          <w:lang w:val="fr-CA"/>
        </w:rPr>
        <w:t xml:space="preserve">Chaque </w:t>
      </w:r>
      <w:r w:rsidR="000B08F2" w:rsidRPr="0059083D">
        <w:rPr>
          <w:lang w:val="fr-CA"/>
        </w:rPr>
        <w:t>certificat, instrument</w:t>
      </w:r>
      <w:r w:rsidR="009960DB" w:rsidRPr="0059083D">
        <w:rPr>
          <w:lang w:val="fr-CA"/>
        </w:rPr>
        <w:t xml:space="preserve"> ou inscription en compte représentant les </w:t>
      </w:r>
      <w:r w:rsidR="002A0F83" w:rsidRPr="0059083D">
        <w:rPr>
          <w:lang w:val="fr-CA"/>
        </w:rPr>
        <w:t>Titres de négociation restreinte</w:t>
      </w:r>
      <w:r w:rsidR="000B08F2" w:rsidRPr="0059083D">
        <w:rPr>
          <w:lang w:val="fr-CA"/>
        </w:rPr>
        <w:t xml:space="preserve"> </w:t>
      </w:r>
      <w:r w:rsidR="00220502">
        <w:rPr>
          <w:lang w:val="fr-CA"/>
        </w:rPr>
        <w:t>transférés</w:t>
      </w:r>
      <w:r w:rsidR="009960DB" w:rsidRPr="0059083D">
        <w:rPr>
          <w:lang w:val="fr-CA"/>
        </w:rPr>
        <w:t xml:space="preserve"> ainsi qu’il est prévu ci-dessus doit, à moins que le transfert ne soit effectué en conformité avec la </w:t>
      </w:r>
      <w:r w:rsidR="00A45E89" w:rsidRPr="0059083D">
        <w:rPr>
          <w:lang w:val="fr-CA"/>
        </w:rPr>
        <w:t>Règle </w:t>
      </w:r>
      <w:r w:rsidR="00A45E89" w:rsidRPr="00986BEB">
        <w:rPr>
          <w:lang w:val="fr-CA"/>
        </w:rPr>
        <w:t>144</w:t>
      </w:r>
      <w:r w:rsidR="00A45E89" w:rsidRPr="0059083D">
        <w:rPr>
          <w:lang w:val="fr-CA"/>
        </w:rPr>
        <w:t xml:space="preserve"> de la SEC</w:t>
      </w:r>
      <w:r w:rsidR="000B08F2" w:rsidRPr="0059083D">
        <w:rPr>
          <w:lang w:val="fr-CA"/>
        </w:rPr>
        <w:t xml:space="preserve">, </w:t>
      </w:r>
      <w:r w:rsidR="009960DB" w:rsidRPr="0059083D">
        <w:rPr>
          <w:lang w:val="fr-CA"/>
        </w:rPr>
        <w:t>porter la mention restrictive appropriée énoncée à l’</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_Ref448380590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2.12b)</w:t>
      </w:r>
      <w:r w:rsidR="000B08F2" w:rsidRPr="00986BEB">
        <w:rPr>
          <w:u w:val="single"/>
          <w:lang w:val="fr-CA"/>
        </w:rPr>
        <w:fldChar w:fldCharType="end"/>
      </w:r>
      <w:r w:rsidR="000B08F2" w:rsidRPr="0059083D">
        <w:rPr>
          <w:lang w:val="fr-CA"/>
        </w:rPr>
        <w:t xml:space="preserve">, </w:t>
      </w:r>
      <w:r w:rsidR="009960DB" w:rsidRPr="0059083D">
        <w:rPr>
          <w:lang w:val="fr-CA"/>
        </w:rPr>
        <w:t xml:space="preserve">sauf si, de l’avis </w:t>
      </w:r>
      <w:r w:rsidR="00234E82">
        <w:rPr>
          <w:lang w:val="fr-CA"/>
        </w:rPr>
        <w:t>du</w:t>
      </w:r>
      <w:r w:rsidR="009960DB" w:rsidRPr="0059083D">
        <w:rPr>
          <w:lang w:val="fr-CA"/>
        </w:rPr>
        <w:t xml:space="preserve"> conseiller juridique</w:t>
      </w:r>
      <w:r w:rsidR="00234E82">
        <w:rPr>
          <w:lang w:val="fr-CA"/>
        </w:rPr>
        <w:t xml:space="preserve"> du </w:t>
      </w:r>
      <w:r w:rsidR="0006561D" w:rsidRPr="0059083D">
        <w:rPr>
          <w:lang w:val="fr-CA"/>
        </w:rPr>
        <w:t>Porteur</w:t>
      </w:r>
      <w:r w:rsidR="000B08F2" w:rsidRPr="0059083D">
        <w:rPr>
          <w:lang w:val="fr-CA"/>
        </w:rPr>
        <w:t xml:space="preserve"> </w:t>
      </w:r>
      <w:r w:rsidR="009960DB" w:rsidRPr="0059083D">
        <w:rPr>
          <w:lang w:val="fr-CA"/>
        </w:rPr>
        <w:t xml:space="preserve">et de </w:t>
      </w:r>
      <w:r w:rsidR="000B08F2" w:rsidRPr="0059083D">
        <w:rPr>
          <w:lang w:val="fr-CA"/>
        </w:rPr>
        <w:t xml:space="preserve">la Société, </w:t>
      </w:r>
      <w:r w:rsidR="009960DB" w:rsidRPr="0059083D">
        <w:rPr>
          <w:lang w:val="fr-CA"/>
        </w:rPr>
        <w:t xml:space="preserve">cette mention n’est </w:t>
      </w:r>
      <w:r w:rsidR="00234E82">
        <w:rPr>
          <w:lang w:val="fr-CA"/>
        </w:rPr>
        <w:t xml:space="preserve">pas </w:t>
      </w:r>
      <w:r w:rsidR="009960DB" w:rsidRPr="0059083D">
        <w:rPr>
          <w:lang w:val="fr-CA"/>
        </w:rPr>
        <w:t xml:space="preserve">nécessaire pour établir la conformité avec les dispositions de </w:t>
      </w:r>
      <w:r w:rsidR="00F52467" w:rsidRPr="0059083D">
        <w:rPr>
          <w:lang w:val="fr-CA"/>
        </w:rPr>
        <w:t xml:space="preserve">la Loi de </w:t>
      </w:r>
      <w:r w:rsidR="00F52467" w:rsidRPr="00986BEB">
        <w:rPr>
          <w:lang w:val="fr-CA"/>
        </w:rPr>
        <w:t>1933</w:t>
      </w:r>
      <w:r w:rsidR="000B08F2" w:rsidRPr="0059083D">
        <w:rPr>
          <w:lang w:val="fr-CA"/>
        </w:rPr>
        <w:t>.</w:t>
      </w:r>
      <w:bookmarkEnd w:id="206"/>
    </w:p>
    <w:p w14:paraId="04D346F2" w14:textId="3B76BE2C" w:rsidR="00037C7E" w:rsidRPr="00986BEB" w:rsidRDefault="009960DB">
      <w:pPr>
        <w:pStyle w:val="StandardL2"/>
        <w:rPr>
          <w:lang w:val="fr-CA"/>
        </w:rPr>
      </w:pPr>
      <w:bookmarkStart w:id="213" w:name="_Ref448380592"/>
      <w:bookmarkStart w:id="214" w:name="_Toc132874729"/>
      <w:r w:rsidRPr="009D4254">
        <w:rPr>
          <w:lang w:val="fr-CA"/>
        </w:rPr>
        <w:t>Extinction des droits d’inscription</w:t>
      </w:r>
      <w:r w:rsidR="000B08F2" w:rsidRPr="009D4254">
        <w:rPr>
          <w:snapToGrid w:val="0"/>
          <w:lang w:val="fr-CA"/>
        </w:rPr>
        <w:t>.</w:t>
      </w:r>
      <w:bookmarkEnd w:id="213"/>
      <w:bookmarkEnd w:id="214"/>
    </w:p>
    <w:p w14:paraId="38557101" w14:textId="6AF8DDDF" w:rsidR="00037C7E" w:rsidRPr="0059083D" w:rsidRDefault="009960DB">
      <w:pPr>
        <w:pStyle w:val="StandardCont2"/>
        <w:rPr>
          <w:lang w:val="fr-CA"/>
        </w:rPr>
      </w:pPr>
      <w:r w:rsidRPr="0059083D">
        <w:rPr>
          <w:snapToGrid w:val="0"/>
          <w:lang w:val="fr-CA"/>
        </w:rPr>
        <w:t xml:space="preserve">Le droit d’un Porteur de demander l’inscription ou l’inclusion de </w:t>
      </w:r>
      <w:r w:rsidR="0006561D" w:rsidRPr="0059083D">
        <w:rPr>
          <w:snapToGrid w:val="0"/>
          <w:lang w:val="fr-CA"/>
        </w:rPr>
        <w:t>Titres à inscrire</w:t>
      </w:r>
      <w:r w:rsidR="000B08F2" w:rsidRPr="0059083D">
        <w:rPr>
          <w:snapToGrid w:val="0"/>
          <w:lang w:val="fr-CA"/>
        </w:rPr>
        <w:t xml:space="preserve"> </w:t>
      </w:r>
      <w:r w:rsidRPr="0059083D">
        <w:rPr>
          <w:snapToGrid w:val="0"/>
          <w:lang w:val="fr-CA"/>
        </w:rPr>
        <w:t xml:space="preserve">dans une inscription aux termes des </w:t>
      </w:r>
      <w:r w:rsidRPr="0059083D">
        <w:rPr>
          <w:snapToGrid w:val="0"/>
          <w:u w:val="single"/>
          <w:lang w:val="fr-CA"/>
        </w:rPr>
        <w:t>paragraphes </w:t>
      </w:r>
      <w:r w:rsidR="000B08F2" w:rsidRPr="00986BEB">
        <w:rPr>
          <w:snapToGrid w:val="0"/>
          <w:u w:val="single"/>
          <w:lang w:val="fr-CA"/>
        </w:rPr>
        <w:fldChar w:fldCharType="begin"/>
      </w:r>
      <w:r w:rsidR="000B08F2" w:rsidRPr="00986BEB">
        <w:rPr>
          <w:snapToGrid w:val="0"/>
          <w:u w:val="single"/>
          <w:lang w:val="fr-CA"/>
        </w:rPr>
        <w:instrText xml:space="preserve">  REF _Ref448380548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ou</w:t>
      </w:r>
      <w:r w:rsidR="000B08F2" w:rsidRPr="0059083D">
        <w:rPr>
          <w:snapToGrid w:val="0"/>
          <w:lang w:val="fr-CA"/>
        </w:rPr>
        <w:t xml:space="preserve"> </w:t>
      </w:r>
      <w:r w:rsidR="000B08F2" w:rsidRPr="00986BEB">
        <w:rPr>
          <w:snapToGrid w:val="0"/>
          <w:lang w:val="fr-CA"/>
        </w:rPr>
        <w:fldChar w:fldCharType="begin"/>
      </w:r>
      <w:r w:rsidR="000B08F2" w:rsidRPr="00986BEB">
        <w:rPr>
          <w:snapToGrid w:val="0"/>
          <w:lang w:val="fr-CA"/>
        </w:rPr>
        <w:instrText xml:space="preserve">  REF _Ref448380554 \w \h \* MERGEFORMAT </w:instrText>
      </w:r>
      <w:r w:rsidR="000B08F2" w:rsidRPr="00986BEB">
        <w:rPr>
          <w:snapToGrid w:val="0"/>
          <w:lang w:val="fr-CA"/>
        </w:rPr>
      </w:r>
      <w:r w:rsidR="000B08F2" w:rsidRPr="00986BEB">
        <w:rPr>
          <w:snapToGrid w:val="0"/>
          <w:lang w:val="fr-CA"/>
        </w:rPr>
        <w:fldChar w:fldCharType="separate"/>
      </w:r>
      <w:r w:rsidR="00AE1D96" w:rsidRPr="00AE1D96">
        <w:rPr>
          <w:snapToGrid w:val="0"/>
          <w:color w:val="000000"/>
          <w:lang w:val="fr-CA"/>
        </w:rPr>
        <w:t>2.2</w:t>
      </w:r>
      <w:r w:rsidR="000B08F2" w:rsidRPr="00986BEB">
        <w:rPr>
          <w:snapToGrid w:val="0"/>
          <w:lang w:val="fr-CA"/>
        </w:rPr>
        <w:fldChar w:fldCharType="end"/>
      </w:r>
      <w:r w:rsidR="000B08F2" w:rsidRPr="0059083D">
        <w:rPr>
          <w:snapToGrid w:val="0"/>
          <w:lang w:val="fr-CA"/>
        </w:rPr>
        <w:t xml:space="preserve"> </w:t>
      </w:r>
      <w:r w:rsidRPr="0059083D">
        <w:rPr>
          <w:snapToGrid w:val="0"/>
          <w:lang w:val="fr-CA"/>
        </w:rPr>
        <w:t xml:space="preserve">s’éteint </w:t>
      </w:r>
      <w:r w:rsidR="000B08F2" w:rsidRPr="0059083D">
        <w:rPr>
          <w:snapToGrid w:val="0"/>
          <w:lang w:val="fr-CA"/>
        </w:rPr>
        <w:t>[</w:t>
      </w:r>
      <w:r w:rsidRPr="0059083D">
        <w:rPr>
          <w:snapToGrid w:val="0"/>
          <w:lang w:val="fr-CA"/>
        </w:rPr>
        <w:t>à la première des éventualités suivantes à survenir </w:t>
      </w:r>
      <w:r w:rsidR="000B08F2" w:rsidRPr="0059083D">
        <w:rPr>
          <w:snapToGrid w:val="0"/>
          <w:lang w:val="fr-CA"/>
        </w:rPr>
        <w:t>]</w:t>
      </w:r>
      <w:r w:rsidRPr="0059083D">
        <w:rPr>
          <w:snapToGrid w:val="0"/>
          <w:lang w:val="fr-CA"/>
        </w:rPr>
        <w:t> </w:t>
      </w:r>
      <w:r w:rsidR="000B08F2" w:rsidRPr="0059083D">
        <w:rPr>
          <w:snapToGrid w:val="0"/>
          <w:lang w:val="fr-CA"/>
        </w:rPr>
        <w:t>:</w:t>
      </w:r>
    </w:p>
    <w:p w14:paraId="40DD0AF4" w14:textId="781AEDE7" w:rsidR="00037C7E" w:rsidRPr="00986BEB" w:rsidRDefault="00B915AD">
      <w:pPr>
        <w:pStyle w:val="StandardL3"/>
        <w:rPr>
          <w:lang w:val="fr-CA"/>
        </w:rPr>
      </w:pPr>
      <w:bookmarkStart w:id="215" w:name="_Ref448380593"/>
      <w:r w:rsidRPr="0059083D">
        <w:rPr>
          <w:szCs w:val="24"/>
          <w:lang w:val="fr-CA"/>
        </w:rPr>
        <w:t>[</w:t>
      </w:r>
      <w:r w:rsidR="009960DB" w:rsidRPr="0059083D">
        <w:rPr>
          <w:szCs w:val="24"/>
          <w:lang w:val="fr-CA"/>
        </w:rPr>
        <w:t>à la clôture d’un</w:t>
      </w:r>
      <w:r w:rsidR="00645C4F">
        <w:rPr>
          <w:szCs w:val="24"/>
          <w:lang w:val="fr-CA"/>
        </w:rPr>
        <w:t xml:space="preserve"> Cas de l</w:t>
      </w:r>
      <w:r w:rsidR="009960DB" w:rsidRPr="0059083D">
        <w:rPr>
          <w:szCs w:val="24"/>
          <w:lang w:val="fr-CA"/>
        </w:rPr>
        <w:t xml:space="preserve">iquidation réputé, au sens </w:t>
      </w:r>
      <w:r w:rsidR="00AA450A">
        <w:rPr>
          <w:szCs w:val="24"/>
          <w:lang w:val="fr-CA"/>
        </w:rPr>
        <w:t xml:space="preserve">donné à </w:t>
      </w:r>
      <w:r w:rsidR="00E27E7C">
        <w:rPr>
          <w:i/>
          <w:iCs/>
          <w:szCs w:val="24"/>
          <w:lang w:val="fr-CA"/>
        </w:rPr>
        <w:t xml:space="preserve">Deemed Liquidation </w:t>
      </w:r>
      <w:r w:rsidR="00E27E7C" w:rsidRPr="00E27E7C">
        <w:rPr>
          <w:i/>
          <w:iCs/>
          <w:szCs w:val="24"/>
          <w:lang w:val="fr-CA"/>
        </w:rPr>
        <w:t>Event</w:t>
      </w:r>
      <w:r w:rsidR="00E27E7C">
        <w:rPr>
          <w:szCs w:val="24"/>
          <w:lang w:val="fr-CA"/>
        </w:rPr>
        <w:t xml:space="preserve"> dans les </w:t>
      </w:r>
      <w:r w:rsidR="009960DB" w:rsidRPr="0059083D">
        <w:rPr>
          <w:szCs w:val="24"/>
          <w:lang w:val="fr-CA"/>
        </w:rPr>
        <w:t xml:space="preserve">Statuts de </w:t>
      </w:r>
      <w:r w:rsidR="000B08F2" w:rsidRPr="0059083D">
        <w:rPr>
          <w:szCs w:val="24"/>
          <w:lang w:val="fr-CA"/>
        </w:rPr>
        <w:t>la Société</w:t>
      </w:r>
      <w:r w:rsidRPr="0059083D">
        <w:rPr>
          <w:szCs w:val="24"/>
          <w:lang w:val="fr-CA"/>
        </w:rPr>
        <w:t>[</w:t>
      </w:r>
      <w:r w:rsidR="00E9522D">
        <w:rPr>
          <w:szCs w:val="24"/>
          <w:lang w:val="fr-CA"/>
        </w:rPr>
        <w:t xml:space="preserve">, </w:t>
      </w:r>
      <w:r w:rsidR="009960DB" w:rsidRPr="0059083D">
        <w:rPr>
          <w:szCs w:val="24"/>
          <w:lang w:val="fr-CA"/>
        </w:rPr>
        <w:t>dans le cadre d</w:t>
      </w:r>
      <w:r w:rsidR="002805D7">
        <w:rPr>
          <w:szCs w:val="24"/>
          <w:lang w:val="fr-CA"/>
        </w:rPr>
        <w:t xml:space="preserve">uquel </w:t>
      </w:r>
      <w:r w:rsidR="009960DB" w:rsidRPr="0059083D">
        <w:rPr>
          <w:szCs w:val="24"/>
          <w:lang w:val="fr-CA"/>
        </w:rPr>
        <w:t xml:space="preserve">les Investisseurs ont reçu une contrepartie en espèces </w:t>
      </w:r>
      <w:r w:rsidR="000B08F2" w:rsidRPr="0059083D">
        <w:rPr>
          <w:szCs w:val="24"/>
          <w:lang w:val="fr-CA"/>
        </w:rPr>
        <w:t xml:space="preserve">et/ou </w:t>
      </w:r>
      <w:r w:rsidR="009960DB" w:rsidRPr="0059083D">
        <w:rPr>
          <w:szCs w:val="24"/>
          <w:lang w:val="fr-CA"/>
        </w:rPr>
        <w:t xml:space="preserve">en titres </w:t>
      </w:r>
      <w:r w:rsidR="00DC3200" w:rsidRPr="0059083D">
        <w:rPr>
          <w:szCs w:val="24"/>
          <w:lang w:val="fr-CA"/>
        </w:rPr>
        <w:t>cotés</w:t>
      </w:r>
      <w:r w:rsidR="009960DB" w:rsidRPr="0059083D">
        <w:rPr>
          <w:szCs w:val="24"/>
          <w:lang w:val="fr-CA"/>
        </w:rPr>
        <w:t xml:space="preserve"> en bourse</w:t>
      </w:r>
      <w:r w:rsidRPr="0059083D">
        <w:rPr>
          <w:szCs w:val="24"/>
          <w:lang w:val="fr-CA"/>
        </w:rPr>
        <w:t xml:space="preserve">, </w:t>
      </w:r>
      <w:r w:rsidR="009960DB" w:rsidRPr="0059083D">
        <w:rPr>
          <w:szCs w:val="24"/>
          <w:lang w:val="fr-CA"/>
        </w:rPr>
        <w:t xml:space="preserve">ou si </w:t>
      </w:r>
      <w:r w:rsidR="000B08F2" w:rsidRPr="0059083D">
        <w:rPr>
          <w:szCs w:val="24"/>
          <w:lang w:val="fr-CA"/>
        </w:rPr>
        <w:t>les Investisseurs</w:t>
      </w:r>
      <w:r w:rsidRPr="0059083D">
        <w:rPr>
          <w:szCs w:val="24"/>
          <w:lang w:val="fr-CA"/>
        </w:rPr>
        <w:t xml:space="preserve"> </w:t>
      </w:r>
      <w:r w:rsidR="009960DB" w:rsidRPr="0059083D">
        <w:rPr>
          <w:szCs w:val="24"/>
          <w:lang w:val="fr-CA"/>
        </w:rPr>
        <w:t>obtiennent de la société qui acquiert</w:t>
      </w:r>
      <w:r w:rsidR="00DC3200" w:rsidRPr="0059083D">
        <w:rPr>
          <w:szCs w:val="24"/>
          <w:lang w:val="fr-CA"/>
        </w:rPr>
        <w:t xml:space="preserve"> ou remplace</w:t>
      </w:r>
      <w:r w:rsidR="009960DB" w:rsidRPr="0059083D">
        <w:rPr>
          <w:szCs w:val="24"/>
          <w:lang w:val="fr-CA"/>
        </w:rPr>
        <w:t xml:space="preserve"> la Société des droits d’inscription </w:t>
      </w:r>
      <w:r w:rsidR="007C4E71" w:rsidRPr="0059083D">
        <w:rPr>
          <w:szCs w:val="24"/>
          <w:lang w:val="fr-CA"/>
        </w:rPr>
        <w:t>raisonnablement</w:t>
      </w:r>
      <w:r w:rsidRPr="0059083D">
        <w:rPr>
          <w:szCs w:val="24"/>
          <w:lang w:val="fr-CA"/>
        </w:rPr>
        <w:t xml:space="preserve"> comparable</w:t>
      </w:r>
      <w:r w:rsidR="009960DB" w:rsidRPr="0059083D">
        <w:rPr>
          <w:szCs w:val="24"/>
          <w:lang w:val="fr-CA"/>
        </w:rPr>
        <w:t xml:space="preserve">s à ceux prévus au présent </w:t>
      </w:r>
      <w:r w:rsidR="0006561D" w:rsidRPr="0059083D">
        <w:rPr>
          <w:szCs w:val="24"/>
          <w:u w:val="single"/>
          <w:lang w:val="fr-CA"/>
        </w:rPr>
        <w:t>article </w:t>
      </w:r>
      <w:r w:rsidRPr="00986BEB">
        <w:rPr>
          <w:szCs w:val="24"/>
          <w:u w:val="single"/>
          <w:lang w:val="fr-CA"/>
        </w:rPr>
        <w:fldChar w:fldCharType="begin"/>
      </w:r>
      <w:r w:rsidRPr="00986BEB">
        <w:rPr>
          <w:szCs w:val="24"/>
          <w:u w:val="single"/>
          <w:lang w:val="fr-CA"/>
        </w:rPr>
        <w:instrText xml:space="preserve"> REF _Ref448381206 \r \h </w:instrText>
      </w:r>
      <w:r w:rsidRPr="00986BEB">
        <w:rPr>
          <w:szCs w:val="24"/>
          <w:u w:val="single"/>
          <w:lang w:val="fr-CA"/>
        </w:rPr>
      </w:r>
      <w:r w:rsidRPr="00986BEB">
        <w:rPr>
          <w:szCs w:val="24"/>
          <w:u w:val="single"/>
          <w:lang w:val="fr-CA"/>
        </w:rPr>
        <w:fldChar w:fldCharType="separate"/>
      </w:r>
      <w:r w:rsidR="00AE1D96">
        <w:rPr>
          <w:szCs w:val="24"/>
          <w:u w:val="single"/>
          <w:lang w:val="fr-CA"/>
        </w:rPr>
        <w:t>2</w:t>
      </w:r>
      <w:r w:rsidRPr="00986BEB">
        <w:rPr>
          <w:szCs w:val="24"/>
          <w:u w:val="single"/>
          <w:lang w:val="fr-CA"/>
        </w:rPr>
        <w:fldChar w:fldCharType="end"/>
      </w:r>
      <w:r w:rsidRPr="0059083D">
        <w:rPr>
          <w:szCs w:val="24"/>
          <w:u w:val="single"/>
          <w:lang w:val="fr-CA"/>
        </w:rPr>
        <w:t>]</w:t>
      </w:r>
      <w:r w:rsidR="000B08F2" w:rsidRPr="0059083D">
        <w:rPr>
          <w:lang w:val="fr-CA"/>
        </w:rPr>
        <w:t>;]</w:t>
      </w:r>
      <w:bookmarkEnd w:id="215"/>
    </w:p>
    <w:p w14:paraId="7AFA1970" w14:textId="323EECAE" w:rsidR="00037C7E" w:rsidRPr="00986BEB" w:rsidRDefault="000B08F2">
      <w:pPr>
        <w:pStyle w:val="StandardL3"/>
        <w:rPr>
          <w:color w:val="000000"/>
          <w:lang w:val="fr-CA"/>
        </w:rPr>
      </w:pPr>
      <w:bookmarkStart w:id="216" w:name="_Ref448380594"/>
      <w:r w:rsidRPr="009D4254">
        <w:rPr>
          <w:lang w:val="fr-CA"/>
        </w:rPr>
        <w:t>[</w:t>
      </w:r>
      <w:r w:rsidR="009960DB" w:rsidRPr="009D4254">
        <w:rPr>
          <w:lang w:val="fr-CA"/>
        </w:rPr>
        <w:t>au moment où, après la réalisation du PAPE </w:t>
      </w:r>
      <w:r w:rsidRPr="009D4254">
        <w:rPr>
          <w:lang w:val="fr-CA"/>
        </w:rPr>
        <w:t>:</w:t>
      </w:r>
      <w:bookmarkEnd w:id="216"/>
    </w:p>
    <w:p w14:paraId="67AEE5FB" w14:textId="49CD03FF" w:rsidR="00037C7E" w:rsidRPr="00986BEB" w:rsidRDefault="009960DB">
      <w:pPr>
        <w:pStyle w:val="StandardL4"/>
        <w:rPr>
          <w:color w:val="000000"/>
          <w:lang w:val="fr-CA"/>
        </w:rPr>
      </w:pPr>
      <w:bookmarkStart w:id="217" w:name="_Ref448380595"/>
      <w:r w:rsidRPr="0059083D">
        <w:rPr>
          <w:lang w:val="fr-CA"/>
        </w:rPr>
        <w:t xml:space="preserve">la </w:t>
      </w:r>
      <w:r w:rsidR="00A45E89" w:rsidRPr="0059083D">
        <w:rPr>
          <w:lang w:val="fr-CA"/>
        </w:rPr>
        <w:t>Règle </w:t>
      </w:r>
      <w:r w:rsidR="00A45E89" w:rsidRPr="00986BEB">
        <w:rPr>
          <w:lang w:val="fr-CA"/>
        </w:rPr>
        <w:t>144</w:t>
      </w:r>
      <w:r w:rsidR="00A45E89" w:rsidRPr="0059083D">
        <w:rPr>
          <w:lang w:val="fr-CA"/>
        </w:rPr>
        <w:t xml:space="preserve"> de la SEC</w:t>
      </w:r>
      <w:r w:rsidR="0041095D" w:rsidRPr="0059083D">
        <w:rPr>
          <w:lang w:val="fr-CA"/>
        </w:rPr>
        <w:t xml:space="preserve">, </w:t>
      </w:r>
      <w:r w:rsidRPr="0059083D">
        <w:rPr>
          <w:lang w:val="fr-CA"/>
        </w:rPr>
        <w:t xml:space="preserve">le </w:t>
      </w:r>
      <w:r w:rsidR="0041095D" w:rsidRPr="0059083D">
        <w:rPr>
          <w:i/>
          <w:iCs/>
          <w:lang w:val="fr-CA"/>
        </w:rPr>
        <w:t>Regulation</w:t>
      </w:r>
      <w:r w:rsidRPr="0059083D">
        <w:rPr>
          <w:i/>
          <w:iCs/>
          <w:lang w:val="fr-CA"/>
        </w:rPr>
        <w:t> </w:t>
      </w:r>
      <w:r w:rsidR="0041095D" w:rsidRPr="0059083D">
        <w:rPr>
          <w:i/>
          <w:iCs/>
          <w:lang w:val="fr-CA"/>
        </w:rPr>
        <w:t>S</w:t>
      </w:r>
      <w:r w:rsidR="0041095D" w:rsidRPr="0059083D">
        <w:rPr>
          <w:lang w:val="fr-CA"/>
        </w:rPr>
        <w:t xml:space="preserve"> </w:t>
      </w:r>
      <w:r w:rsidRPr="0059083D">
        <w:rPr>
          <w:lang w:val="fr-CA"/>
        </w:rPr>
        <w:t xml:space="preserve">ou une autre dispense semblable en vertu de </w:t>
      </w:r>
      <w:r w:rsidR="00F52467" w:rsidRPr="0059083D">
        <w:rPr>
          <w:lang w:val="fr-CA"/>
        </w:rPr>
        <w:t xml:space="preserve">la Loi de </w:t>
      </w:r>
      <w:r w:rsidR="00F52467" w:rsidRPr="00986BEB">
        <w:rPr>
          <w:lang w:val="fr-CA"/>
        </w:rPr>
        <w:t>1933</w:t>
      </w:r>
      <w:r w:rsidR="0041095D" w:rsidRPr="0059083D">
        <w:rPr>
          <w:lang w:val="fr-CA"/>
        </w:rPr>
        <w:t xml:space="preserve"> </w:t>
      </w:r>
      <w:r w:rsidRPr="0059083D">
        <w:rPr>
          <w:lang w:val="fr-CA"/>
        </w:rPr>
        <w:t xml:space="preserve">permet la vente de la totalité des actions du </w:t>
      </w:r>
      <w:r w:rsidR="0006561D" w:rsidRPr="0059083D">
        <w:rPr>
          <w:szCs w:val="24"/>
          <w:lang w:val="fr-CA"/>
        </w:rPr>
        <w:t>Porteur</w:t>
      </w:r>
      <w:r w:rsidRPr="0059083D">
        <w:rPr>
          <w:szCs w:val="24"/>
          <w:lang w:val="fr-CA"/>
        </w:rPr>
        <w:t xml:space="preserve"> sans restriction pendant une période de trois</w:t>
      </w:r>
      <w:r w:rsidR="00E27E7C">
        <w:rPr>
          <w:szCs w:val="24"/>
          <w:lang w:val="fr-CA"/>
        </w:rPr>
        <w:t> </w:t>
      </w:r>
      <w:r w:rsidR="000B08F2" w:rsidRPr="0059083D">
        <w:rPr>
          <w:szCs w:val="24"/>
          <w:lang w:val="fr-CA"/>
        </w:rPr>
        <w:t>(</w:t>
      </w:r>
      <w:r w:rsidR="000B08F2" w:rsidRPr="00986BEB">
        <w:rPr>
          <w:szCs w:val="24"/>
          <w:lang w:val="fr-CA"/>
        </w:rPr>
        <w:t>3</w:t>
      </w:r>
      <w:r w:rsidR="000B08F2" w:rsidRPr="0059083D">
        <w:rPr>
          <w:szCs w:val="24"/>
          <w:lang w:val="fr-CA"/>
        </w:rPr>
        <w:t>)</w:t>
      </w:r>
      <w:r w:rsidRPr="0059083D">
        <w:rPr>
          <w:szCs w:val="24"/>
          <w:lang w:val="fr-CA"/>
        </w:rPr>
        <w:t xml:space="preserve"> mois sans inscription </w:t>
      </w:r>
      <w:r w:rsidR="000B08F2" w:rsidRPr="0059083D">
        <w:rPr>
          <w:szCs w:val="24"/>
          <w:lang w:val="fr-CA"/>
        </w:rPr>
        <w:t>[(</w:t>
      </w:r>
      <w:r w:rsidRPr="0059083D">
        <w:rPr>
          <w:szCs w:val="24"/>
          <w:lang w:val="fr-CA"/>
        </w:rPr>
        <w:t xml:space="preserve">et sans obligation pour la Société de </w:t>
      </w:r>
      <w:r w:rsidR="00FD6D68">
        <w:rPr>
          <w:lang w:val="fr-CA"/>
        </w:rPr>
        <w:t xml:space="preserve">rendre accessibles au public </w:t>
      </w:r>
      <w:r w:rsidR="00FD6D68" w:rsidRPr="0059083D">
        <w:rPr>
          <w:lang w:val="fr-CA"/>
        </w:rPr>
        <w:t xml:space="preserve">des renseignements </w:t>
      </w:r>
      <w:r w:rsidR="00FD6D68">
        <w:rPr>
          <w:lang w:val="fr-CA"/>
        </w:rPr>
        <w:t xml:space="preserve">à jour comme l’exige </w:t>
      </w:r>
      <w:bookmarkStart w:id="218" w:name="_9kR3WTr2CC4BK77rqufv2y4t8"/>
      <w:r w:rsidRPr="0059083D">
        <w:rPr>
          <w:szCs w:val="24"/>
          <w:lang w:val="fr-CA"/>
        </w:rPr>
        <w:t>l’alinéa </w:t>
      </w:r>
      <w:r w:rsidR="000B08F2" w:rsidRPr="0059083D">
        <w:rPr>
          <w:szCs w:val="24"/>
          <w:lang w:val="fr-CA"/>
        </w:rPr>
        <w:t>(</w:t>
      </w:r>
      <w:r w:rsidR="000B08F2" w:rsidRPr="00986BEB">
        <w:rPr>
          <w:szCs w:val="24"/>
          <w:lang w:val="fr-CA"/>
        </w:rPr>
        <w:t>c</w:t>
      </w:r>
      <w:r w:rsidR="000B08F2" w:rsidRPr="0059083D">
        <w:rPr>
          <w:szCs w:val="24"/>
          <w:lang w:val="fr-CA"/>
        </w:rPr>
        <w:t>)(</w:t>
      </w:r>
      <w:r w:rsidR="000B08F2" w:rsidRPr="00986BEB">
        <w:rPr>
          <w:szCs w:val="24"/>
          <w:lang w:val="fr-CA"/>
        </w:rPr>
        <w:t>1</w:t>
      </w:r>
      <w:r w:rsidR="000B08F2" w:rsidRPr="0059083D">
        <w:rPr>
          <w:szCs w:val="24"/>
          <w:lang w:val="fr-CA"/>
        </w:rPr>
        <w:t>)</w:t>
      </w:r>
      <w:bookmarkEnd w:id="218"/>
      <w:r w:rsidR="000B08F2" w:rsidRPr="0059083D">
        <w:rPr>
          <w:szCs w:val="24"/>
          <w:lang w:val="fr-CA"/>
        </w:rPr>
        <w:t xml:space="preserve"> </w:t>
      </w:r>
      <w:r w:rsidRPr="0059083D">
        <w:rPr>
          <w:szCs w:val="24"/>
          <w:lang w:val="fr-CA"/>
        </w:rPr>
        <w:t xml:space="preserve">de la </w:t>
      </w:r>
      <w:r w:rsidR="00A45E89" w:rsidRPr="0059083D">
        <w:rPr>
          <w:szCs w:val="24"/>
          <w:lang w:val="fr-CA"/>
        </w:rPr>
        <w:t>Règle </w:t>
      </w:r>
      <w:r w:rsidR="00A45E89" w:rsidRPr="00986BEB">
        <w:rPr>
          <w:szCs w:val="24"/>
          <w:lang w:val="fr-CA"/>
        </w:rPr>
        <w:t>144</w:t>
      </w:r>
      <w:r w:rsidR="00A45E89" w:rsidRPr="0059083D">
        <w:rPr>
          <w:szCs w:val="24"/>
          <w:lang w:val="fr-CA"/>
        </w:rPr>
        <w:t xml:space="preserve"> de la SEC</w:t>
      </w:r>
      <w:r w:rsidR="000B08F2" w:rsidRPr="0059083D">
        <w:rPr>
          <w:szCs w:val="24"/>
          <w:lang w:val="fr-CA"/>
        </w:rPr>
        <w:t xml:space="preserve">) </w:t>
      </w:r>
      <w:r w:rsidRPr="0059083D">
        <w:rPr>
          <w:szCs w:val="24"/>
          <w:lang w:val="fr-CA"/>
        </w:rPr>
        <w:t xml:space="preserve">et le </w:t>
      </w:r>
      <w:r w:rsidR="0006561D" w:rsidRPr="0059083D">
        <w:rPr>
          <w:szCs w:val="24"/>
          <w:lang w:val="fr-CA"/>
        </w:rPr>
        <w:t>Porteur</w:t>
      </w:r>
      <w:r w:rsidR="000B08F2" w:rsidRPr="0059083D">
        <w:rPr>
          <w:szCs w:val="24"/>
          <w:lang w:val="fr-CA"/>
        </w:rPr>
        <w:t xml:space="preserve"> (</w:t>
      </w:r>
      <w:r w:rsidRPr="0059083D">
        <w:rPr>
          <w:szCs w:val="24"/>
          <w:lang w:val="fr-CA"/>
        </w:rPr>
        <w:t xml:space="preserve">avec les membres de son groupe, au sens </w:t>
      </w:r>
      <w:r w:rsidR="00874C2A">
        <w:rPr>
          <w:szCs w:val="24"/>
          <w:lang w:val="fr-CA"/>
        </w:rPr>
        <w:t>donné</w:t>
      </w:r>
      <w:r w:rsidRPr="0059083D">
        <w:rPr>
          <w:szCs w:val="24"/>
          <w:lang w:val="fr-CA"/>
        </w:rPr>
        <w:t xml:space="preserve"> au terme </w:t>
      </w:r>
      <w:r w:rsidR="000B08F2" w:rsidRPr="0059083D">
        <w:rPr>
          <w:i/>
          <w:iCs/>
          <w:szCs w:val="24"/>
          <w:lang w:val="fr-CA"/>
        </w:rPr>
        <w:t>affiliates</w:t>
      </w:r>
      <w:r w:rsidR="000B08F2" w:rsidRPr="0059083D">
        <w:rPr>
          <w:szCs w:val="24"/>
          <w:lang w:val="fr-CA"/>
        </w:rPr>
        <w:t xml:space="preserve"> </w:t>
      </w:r>
      <w:r w:rsidRPr="0059083D">
        <w:rPr>
          <w:szCs w:val="24"/>
          <w:lang w:val="fr-CA"/>
        </w:rPr>
        <w:t xml:space="preserve">dans la </w:t>
      </w:r>
      <w:r w:rsidR="00A45E89" w:rsidRPr="0059083D">
        <w:rPr>
          <w:szCs w:val="24"/>
          <w:lang w:val="fr-CA"/>
        </w:rPr>
        <w:t>Règle </w:t>
      </w:r>
      <w:r w:rsidR="00A45E89" w:rsidRPr="00986BEB">
        <w:rPr>
          <w:szCs w:val="24"/>
          <w:lang w:val="fr-CA"/>
        </w:rPr>
        <w:t>144</w:t>
      </w:r>
      <w:r w:rsidR="00A45E89" w:rsidRPr="0059083D">
        <w:rPr>
          <w:szCs w:val="24"/>
          <w:lang w:val="fr-CA"/>
        </w:rPr>
        <w:t xml:space="preserve"> de la SEC</w:t>
      </w:r>
      <w:r w:rsidR="000B08F2" w:rsidRPr="0059083D">
        <w:rPr>
          <w:szCs w:val="24"/>
          <w:lang w:val="fr-CA"/>
        </w:rPr>
        <w:t xml:space="preserve">) </w:t>
      </w:r>
      <w:r w:rsidR="00344D16">
        <w:rPr>
          <w:szCs w:val="24"/>
          <w:lang w:val="fr-CA"/>
        </w:rPr>
        <w:t>détient</w:t>
      </w:r>
      <w:r w:rsidRPr="0059083D">
        <w:rPr>
          <w:szCs w:val="24"/>
          <w:lang w:val="fr-CA"/>
        </w:rPr>
        <w:t xml:space="preserve"> moins d’un pour cent </w:t>
      </w:r>
      <w:r w:rsidR="000B08F2" w:rsidRPr="0059083D">
        <w:rPr>
          <w:szCs w:val="24"/>
          <w:lang w:val="fr-CA"/>
        </w:rPr>
        <w:t>(</w:t>
      </w:r>
      <w:r w:rsidR="000B08F2" w:rsidRPr="00986BEB">
        <w:rPr>
          <w:szCs w:val="24"/>
          <w:lang w:val="fr-CA"/>
        </w:rPr>
        <w:t>1</w:t>
      </w:r>
      <w:r w:rsidRPr="0059083D">
        <w:rPr>
          <w:szCs w:val="24"/>
          <w:lang w:val="fr-CA"/>
        </w:rPr>
        <w:t> </w:t>
      </w:r>
      <w:r w:rsidR="000B08F2" w:rsidRPr="0059083D">
        <w:rPr>
          <w:szCs w:val="24"/>
          <w:lang w:val="fr-CA"/>
        </w:rPr>
        <w:t xml:space="preserve">%) </w:t>
      </w:r>
      <w:r w:rsidRPr="0059083D">
        <w:rPr>
          <w:szCs w:val="24"/>
          <w:lang w:val="fr-CA"/>
        </w:rPr>
        <w:t xml:space="preserve">des actions en circulation </w:t>
      </w:r>
      <w:r w:rsidR="000B08F2" w:rsidRPr="0059083D">
        <w:rPr>
          <w:szCs w:val="24"/>
          <w:lang w:val="fr-CA"/>
        </w:rPr>
        <w:t>de la Société</w:t>
      </w:r>
      <w:r w:rsidR="000B08F2" w:rsidRPr="00986BEB">
        <w:rPr>
          <w:rStyle w:val="FootnoteReference"/>
          <w:szCs w:val="24"/>
          <w:lang w:val="fr-CA"/>
        </w:rPr>
        <w:footnoteReference w:id="36"/>
      </w:r>
      <w:r w:rsidR="00344D16" w:rsidRPr="0059083D">
        <w:rPr>
          <w:szCs w:val="24"/>
          <w:lang w:val="fr-CA"/>
        </w:rPr>
        <w:t>]</w:t>
      </w:r>
      <w:r w:rsidR="0041095D" w:rsidRPr="0059083D">
        <w:rPr>
          <w:lang w:val="fr-CA"/>
        </w:rPr>
        <w:t xml:space="preserve">; </w:t>
      </w:r>
      <w:bookmarkEnd w:id="217"/>
    </w:p>
    <w:p w14:paraId="3BB9B79C" w14:textId="59500185" w:rsidR="00037C7E" w:rsidRPr="00986BEB" w:rsidRDefault="009960DB">
      <w:pPr>
        <w:pStyle w:val="StandardL4"/>
        <w:rPr>
          <w:color w:val="000000"/>
          <w:lang w:val="fr-CA"/>
        </w:rPr>
      </w:pPr>
      <w:bookmarkStart w:id="219" w:name="_Ref448380596"/>
      <w:r w:rsidRPr="0059083D">
        <w:rPr>
          <w:lang w:val="fr-CA"/>
        </w:rPr>
        <w:t xml:space="preserve">la vente de la totalité des actions du </w:t>
      </w:r>
      <w:r w:rsidR="0006561D" w:rsidRPr="0059083D">
        <w:rPr>
          <w:lang w:val="fr-CA"/>
        </w:rPr>
        <w:t>Porteur</w:t>
      </w:r>
      <w:r w:rsidRPr="0059083D">
        <w:rPr>
          <w:lang w:val="fr-CA"/>
        </w:rPr>
        <w:t xml:space="preserve"> n’est pas un placement aux termes des </w:t>
      </w:r>
      <w:r w:rsidR="002A0F83" w:rsidRPr="0059083D">
        <w:rPr>
          <w:lang w:val="fr-CA"/>
        </w:rPr>
        <w:t>paragraphe</w:t>
      </w:r>
      <w:r w:rsidRPr="0059083D">
        <w:rPr>
          <w:lang w:val="fr-CA"/>
        </w:rPr>
        <w:t>s</w:t>
      </w:r>
      <w:r w:rsidR="002A0F83" w:rsidRPr="0059083D">
        <w:rPr>
          <w:lang w:val="fr-CA"/>
        </w:rPr>
        <w:t> </w:t>
      </w:r>
      <w:r w:rsidR="000B08F2" w:rsidRPr="00986BEB">
        <w:rPr>
          <w:lang w:val="fr-CA"/>
        </w:rPr>
        <w:t>2.5</w:t>
      </w:r>
      <w:r w:rsidR="000B08F2" w:rsidRPr="0059083D">
        <w:rPr>
          <w:lang w:val="fr-CA"/>
        </w:rPr>
        <w:t xml:space="preserve"> </w:t>
      </w:r>
      <w:r w:rsidRPr="0059083D">
        <w:rPr>
          <w:lang w:val="fr-CA"/>
        </w:rPr>
        <w:t xml:space="preserve">ou </w:t>
      </w:r>
      <w:r w:rsidR="000B08F2" w:rsidRPr="00986BEB">
        <w:rPr>
          <w:lang w:val="fr-CA"/>
        </w:rPr>
        <w:t>2.6</w:t>
      </w:r>
      <w:r w:rsidR="000B08F2" w:rsidRPr="0059083D">
        <w:rPr>
          <w:lang w:val="fr-CA"/>
        </w:rPr>
        <w:t xml:space="preserve"> </w:t>
      </w:r>
      <w:r w:rsidRPr="0059083D">
        <w:rPr>
          <w:lang w:val="fr-CA"/>
        </w:rPr>
        <w:t xml:space="preserve">du </w:t>
      </w:r>
      <w:r w:rsidR="00365C77" w:rsidRPr="0059083D">
        <w:rPr>
          <w:lang w:val="fr-CA"/>
        </w:rPr>
        <w:t>Règlement </w:t>
      </w:r>
      <w:r w:rsidR="00365C77" w:rsidRPr="00986BEB">
        <w:rPr>
          <w:lang w:val="fr-CA"/>
        </w:rPr>
        <w:t>45-102</w:t>
      </w:r>
      <w:r w:rsidRPr="0059083D">
        <w:rPr>
          <w:lang w:val="fr-CA"/>
        </w:rPr>
        <w:t xml:space="preserve"> et ne constituerait pas un placement d’un bloc de contrôle </w:t>
      </w:r>
      <w:r w:rsidR="000B08F2" w:rsidRPr="0059083D">
        <w:rPr>
          <w:lang w:val="fr-CA"/>
        </w:rPr>
        <w:t>(</w:t>
      </w:r>
      <w:r w:rsidRPr="0059083D">
        <w:rPr>
          <w:lang w:val="fr-CA"/>
        </w:rPr>
        <w:t xml:space="preserve">au sens du </w:t>
      </w:r>
      <w:r w:rsidR="00365C77" w:rsidRPr="0059083D">
        <w:rPr>
          <w:lang w:val="fr-CA"/>
        </w:rPr>
        <w:t>Règlement </w:t>
      </w:r>
      <w:r w:rsidR="00365C77" w:rsidRPr="00986BEB">
        <w:rPr>
          <w:lang w:val="fr-CA"/>
        </w:rPr>
        <w:t>45</w:t>
      </w:r>
      <w:r w:rsidRPr="00986BEB">
        <w:rPr>
          <w:lang w:val="fr-CA"/>
        </w:rPr>
        <w:noBreakHyphen/>
      </w:r>
      <w:r w:rsidR="00365C77" w:rsidRPr="00986BEB">
        <w:rPr>
          <w:lang w:val="fr-CA"/>
        </w:rPr>
        <w:t>102</w:t>
      </w:r>
      <w:r w:rsidR="000B08F2" w:rsidRPr="0059083D">
        <w:rPr>
          <w:lang w:val="fr-CA"/>
        </w:rPr>
        <w:t>)</w:t>
      </w:r>
      <w:bookmarkStart w:id="220" w:name="_Ref448380706"/>
      <w:r w:rsidR="000B08F2" w:rsidRPr="00986BEB">
        <w:rPr>
          <w:rStyle w:val="FootnoteReference"/>
          <w:szCs w:val="16"/>
          <w:lang w:val="fr-CA"/>
        </w:rPr>
        <w:footnoteReference w:id="37"/>
      </w:r>
      <w:bookmarkEnd w:id="219"/>
      <w:bookmarkEnd w:id="220"/>
      <w:r w:rsidR="00344D16" w:rsidRPr="0059083D">
        <w:rPr>
          <w:lang w:val="fr-CA"/>
        </w:rPr>
        <w:t>;]</w:t>
      </w:r>
    </w:p>
    <w:p w14:paraId="5EC5A4F3" w14:textId="6FE96F0F" w:rsidR="00037C7E" w:rsidRPr="00986BEB" w:rsidRDefault="009960DB">
      <w:pPr>
        <w:pStyle w:val="StandardL3"/>
        <w:rPr>
          <w:lang w:val="fr-CA"/>
        </w:rPr>
      </w:pPr>
      <w:bookmarkStart w:id="223" w:name="_Ref448380597"/>
      <w:r w:rsidRPr="0059083D">
        <w:rPr>
          <w:lang w:val="fr-CA"/>
        </w:rPr>
        <w:t xml:space="preserve">au </w:t>
      </w:r>
      <w:r w:rsidR="00330250" w:rsidRPr="0059083D">
        <w:rPr>
          <w:lang w:val="fr-CA"/>
        </w:rPr>
        <w:t>[</w:t>
      </w:r>
      <w:r w:rsidRPr="0059083D">
        <w:rPr>
          <w:lang w:val="fr-CA"/>
        </w:rPr>
        <w:t>troisième</w:t>
      </w:r>
      <w:r w:rsidR="00E9522D">
        <w:rPr>
          <w:lang w:val="fr-CA"/>
        </w:rPr>
        <w:t xml:space="preserve"> </w:t>
      </w:r>
      <w:r w:rsidR="00E27E7C">
        <w:rPr>
          <w:lang w:val="fr-CA"/>
        </w:rPr>
        <w:t>-</w:t>
      </w:r>
      <w:r w:rsidR="00E9522D">
        <w:rPr>
          <w:lang w:val="fr-CA"/>
        </w:rPr>
        <w:t xml:space="preserve"> </w:t>
      </w:r>
      <w:r w:rsidRPr="0059083D">
        <w:rPr>
          <w:lang w:val="fr-CA"/>
        </w:rPr>
        <w:t>cinquième</w:t>
      </w:r>
      <w:r w:rsidR="00330250" w:rsidRPr="0059083D">
        <w:rPr>
          <w:lang w:val="fr-CA"/>
        </w:rPr>
        <w:t>] ([</w:t>
      </w:r>
      <w:r w:rsidR="00330250" w:rsidRPr="00986BEB">
        <w:rPr>
          <w:lang w:val="fr-CA"/>
        </w:rPr>
        <w:t>3</w:t>
      </w:r>
      <w:r w:rsidRPr="0059083D">
        <w:rPr>
          <w:vertAlign w:val="superscript"/>
          <w:lang w:val="fr-CA"/>
        </w:rPr>
        <w:t>e</w:t>
      </w:r>
      <w:r w:rsidR="00E9522D" w:rsidRPr="00E9522D">
        <w:rPr>
          <w:lang w:val="fr-CA"/>
        </w:rPr>
        <w:t xml:space="preserve"> </w:t>
      </w:r>
      <w:r w:rsidR="00E27E7C">
        <w:rPr>
          <w:lang w:val="fr-CA"/>
        </w:rPr>
        <w:t>-</w:t>
      </w:r>
      <w:r w:rsidR="00E9522D" w:rsidRPr="00E9522D">
        <w:rPr>
          <w:lang w:val="fr-CA"/>
        </w:rPr>
        <w:t xml:space="preserve"> </w:t>
      </w:r>
      <w:r w:rsidR="00330250" w:rsidRPr="00986BEB">
        <w:rPr>
          <w:lang w:val="fr-CA"/>
        </w:rPr>
        <w:t>5</w:t>
      </w:r>
      <w:r w:rsidRPr="0059083D">
        <w:rPr>
          <w:vertAlign w:val="superscript"/>
          <w:lang w:val="fr-CA"/>
        </w:rPr>
        <w:t>e</w:t>
      </w:r>
      <w:r w:rsidR="00330250" w:rsidRPr="0059083D">
        <w:rPr>
          <w:szCs w:val="24"/>
          <w:lang w:val="fr-CA"/>
        </w:rPr>
        <w:t>])</w:t>
      </w:r>
      <w:r w:rsidRPr="0059083D">
        <w:rPr>
          <w:szCs w:val="24"/>
          <w:lang w:val="fr-CA"/>
        </w:rPr>
        <w:t xml:space="preserve"> anniversaire du </w:t>
      </w:r>
      <w:r w:rsidR="00330250" w:rsidRPr="0059083D">
        <w:rPr>
          <w:szCs w:val="24"/>
          <w:lang w:val="fr-CA"/>
        </w:rPr>
        <w:t>[</w:t>
      </w:r>
      <w:r w:rsidRPr="0059083D">
        <w:rPr>
          <w:szCs w:val="24"/>
          <w:lang w:val="fr-CA"/>
        </w:rPr>
        <w:t>PAPE</w:t>
      </w:r>
      <w:r w:rsidR="00330250" w:rsidRPr="0059083D">
        <w:rPr>
          <w:szCs w:val="24"/>
          <w:lang w:val="fr-CA"/>
        </w:rPr>
        <w:t>]</w:t>
      </w:r>
      <w:r w:rsidR="00E9522D">
        <w:rPr>
          <w:szCs w:val="24"/>
          <w:lang w:val="fr-CA"/>
        </w:rPr>
        <w:t xml:space="preserve"> </w:t>
      </w:r>
      <w:r w:rsidR="00330250" w:rsidRPr="0059083D">
        <w:rPr>
          <w:szCs w:val="24"/>
          <w:lang w:val="fr-CA"/>
        </w:rPr>
        <w:t>[(</w:t>
      </w:r>
      <w:r w:rsidRPr="0059083D">
        <w:rPr>
          <w:szCs w:val="24"/>
          <w:lang w:val="fr-CA"/>
        </w:rPr>
        <w:t xml:space="preserve">ou à une date ultérieure qui tombe cent quatre-vingts </w:t>
      </w:r>
      <w:r w:rsidR="00330250" w:rsidRPr="0059083D">
        <w:rPr>
          <w:szCs w:val="24"/>
          <w:lang w:val="fr-CA"/>
        </w:rPr>
        <w:t>(</w:t>
      </w:r>
      <w:r w:rsidR="00330250" w:rsidRPr="00986BEB">
        <w:rPr>
          <w:szCs w:val="24"/>
          <w:lang w:val="fr-CA"/>
        </w:rPr>
        <w:t>180</w:t>
      </w:r>
      <w:r w:rsidR="00330250" w:rsidRPr="0059083D">
        <w:rPr>
          <w:szCs w:val="24"/>
          <w:lang w:val="fr-CA"/>
        </w:rPr>
        <w:t>)</w:t>
      </w:r>
      <w:r w:rsidRPr="0059083D">
        <w:rPr>
          <w:szCs w:val="24"/>
          <w:lang w:val="fr-CA"/>
        </w:rPr>
        <w:t xml:space="preserve"> jours après l’expiration de tous les reports des obligations de </w:t>
      </w:r>
      <w:r w:rsidR="000B08F2" w:rsidRPr="0059083D">
        <w:rPr>
          <w:szCs w:val="24"/>
          <w:lang w:val="fr-CA"/>
        </w:rPr>
        <w:t>la Société</w:t>
      </w:r>
      <w:r w:rsidRPr="0059083D">
        <w:rPr>
          <w:szCs w:val="24"/>
          <w:lang w:val="fr-CA"/>
        </w:rPr>
        <w:t xml:space="preserve"> conformément à l’</w:t>
      </w:r>
      <w:r w:rsidR="0006561D" w:rsidRPr="0059083D">
        <w:rPr>
          <w:szCs w:val="24"/>
          <w:u w:val="single"/>
          <w:lang w:val="fr-CA"/>
        </w:rPr>
        <w:t>article </w:t>
      </w:r>
      <w:r w:rsidR="00294294" w:rsidRPr="00986BEB">
        <w:rPr>
          <w:szCs w:val="24"/>
          <w:u w:val="single"/>
          <w:lang w:val="fr-CA"/>
        </w:rPr>
        <w:fldChar w:fldCharType="begin"/>
      </w:r>
      <w:r w:rsidR="00294294" w:rsidRPr="00986BEB">
        <w:rPr>
          <w:szCs w:val="24"/>
          <w:u w:val="single"/>
          <w:lang w:val="fr-CA"/>
        </w:rPr>
        <w:instrText xml:space="preserve"> REF _Ref448381206 \r \h </w:instrText>
      </w:r>
      <w:r w:rsidR="00294294" w:rsidRPr="00986BEB">
        <w:rPr>
          <w:szCs w:val="24"/>
          <w:u w:val="single"/>
          <w:lang w:val="fr-CA"/>
        </w:rPr>
      </w:r>
      <w:r w:rsidR="00294294" w:rsidRPr="00986BEB">
        <w:rPr>
          <w:szCs w:val="24"/>
          <w:u w:val="single"/>
          <w:lang w:val="fr-CA"/>
        </w:rPr>
        <w:fldChar w:fldCharType="separate"/>
      </w:r>
      <w:r w:rsidR="00AE1D96">
        <w:rPr>
          <w:szCs w:val="24"/>
          <w:u w:val="single"/>
          <w:lang w:val="fr-CA"/>
        </w:rPr>
        <w:t>2</w:t>
      </w:r>
      <w:r w:rsidR="00294294" w:rsidRPr="00986BEB">
        <w:rPr>
          <w:szCs w:val="24"/>
          <w:u w:val="single"/>
          <w:lang w:val="fr-CA"/>
        </w:rPr>
        <w:fldChar w:fldCharType="end"/>
      </w:r>
      <w:r w:rsidR="00330250" w:rsidRPr="0059083D">
        <w:rPr>
          <w:szCs w:val="24"/>
          <w:lang w:val="fr-CA"/>
        </w:rPr>
        <w:t xml:space="preserve"> </w:t>
      </w:r>
      <w:r w:rsidRPr="0059083D">
        <w:rPr>
          <w:szCs w:val="24"/>
          <w:lang w:val="fr-CA"/>
        </w:rPr>
        <w:t xml:space="preserve">qui demeurent en vigueur au </w:t>
      </w:r>
      <w:r w:rsidRPr="0059083D">
        <w:rPr>
          <w:lang w:val="fr-CA"/>
        </w:rPr>
        <w:t>[troisième</w:t>
      </w:r>
      <w:r w:rsidR="00E9522D">
        <w:rPr>
          <w:lang w:val="fr-CA"/>
        </w:rPr>
        <w:t xml:space="preserve"> </w:t>
      </w:r>
      <w:r w:rsidR="00E27E7C">
        <w:rPr>
          <w:lang w:val="fr-CA"/>
        </w:rPr>
        <w:t>-</w:t>
      </w:r>
      <w:r w:rsidR="00E9522D">
        <w:rPr>
          <w:lang w:val="fr-CA"/>
        </w:rPr>
        <w:t xml:space="preserve"> </w:t>
      </w:r>
      <w:r w:rsidRPr="0059083D">
        <w:rPr>
          <w:lang w:val="fr-CA"/>
        </w:rPr>
        <w:t>cinquième] ([</w:t>
      </w:r>
      <w:r w:rsidRPr="00986BEB">
        <w:rPr>
          <w:lang w:val="fr-CA"/>
        </w:rPr>
        <w:t>3</w:t>
      </w:r>
      <w:r w:rsidRPr="0059083D">
        <w:rPr>
          <w:vertAlign w:val="superscript"/>
          <w:lang w:val="fr-CA"/>
        </w:rPr>
        <w:t>e</w:t>
      </w:r>
      <w:r w:rsidR="00E9522D">
        <w:rPr>
          <w:lang w:val="fr-CA"/>
        </w:rPr>
        <w:t xml:space="preserve"> </w:t>
      </w:r>
      <w:r w:rsidR="00E27E7C">
        <w:rPr>
          <w:lang w:val="fr-CA"/>
        </w:rPr>
        <w:t>-</w:t>
      </w:r>
      <w:r w:rsidR="00E9522D">
        <w:rPr>
          <w:lang w:val="fr-CA"/>
        </w:rPr>
        <w:t xml:space="preserve"> </w:t>
      </w:r>
      <w:r w:rsidRPr="00986BEB">
        <w:rPr>
          <w:lang w:val="fr-CA"/>
        </w:rPr>
        <w:t>5</w:t>
      </w:r>
      <w:r w:rsidRPr="0059083D">
        <w:rPr>
          <w:vertAlign w:val="superscript"/>
          <w:lang w:val="fr-CA"/>
        </w:rPr>
        <w:t>e</w:t>
      </w:r>
      <w:r w:rsidRPr="0059083D">
        <w:rPr>
          <w:szCs w:val="24"/>
          <w:lang w:val="fr-CA"/>
        </w:rPr>
        <w:t>]) anniversaire de la réalisation du PAPE</w:t>
      </w:r>
      <w:r w:rsidR="000B08F2" w:rsidRPr="0059083D">
        <w:rPr>
          <w:lang w:val="fr-CA"/>
        </w:rPr>
        <w:t>)].</w:t>
      </w:r>
      <w:bookmarkEnd w:id="223"/>
    </w:p>
    <w:p w14:paraId="5F55F0D7" w14:textId="41B72527" w:rsidR="00037C7E" w:rsidRPr="00986BEB" w:rsidRDefault="009960DB">
      <w:pPr>
        <w:pStyle w:val="StandardL2"/>
        <w:rPr>
          <w:lang w:val="fr-CA"/>
        </w:rPr>
      </w:pPr>
      <w:bookmarkStart w:id="224" w:name="_Ref448380598"/>
      <w:bookmarkStart w:id="225" w:name="_Toc132874730"/>
      <w:r w:rsidRPr="009D4254">
        <w:rPr>
          <w:lang w:val="fr-CA"/>
        </w:rPr>
        <w:t xml:space="preserve">Droits supplémentaires </w:t>
      </w:r>
      <w:r w:rsidR="003C0104">
        <w:rPr>
          <w:lang w:val="fr-CA"/>
        </w:rPr>
        <w:t>–</w:t>
      </w:r>
      <w:r w:rsidR="000B08F2" w:rsidRPr="009D4254">
        <w:rPr>
          <w:lang w:val="fr-CA"/>
        </w:rPr>
        <w:t xml:space="preserve"> Canada</w:t>
      </w:r>
      <w:bookmarkEnd w:id="224"/>
      <w:bookmarkEnd w:id="225"/>
    </w:p>
    <w:p w14:paraId="7F055DE4" w14:textId="5E28F5B1" w:rsidR="00037C7E" w:rsidRPr="00986BEB" w:rsidRDefault="00D40EFF">
      <w:pPr>
        <w:pStyle w:val="StandardL3"/>
        <w:rPr>
          <w:lang w:val="fr-CA"/>
        </w:rPr>
      </w:pPr>
      <w:bookmarkStart w:id="226" w:name="_Ref448380599"/>
      <w:r w:rsidRPr="009D4254">
        <w:rPr>
          <w:lang w:val="fr-CA"/>
        </w:rPr>
        <w:t>Si</w:t>
      </w:r>
      <w:r w:rsidR="00C40340">
        <w:rPr>
          <w:lang w:val="fr-CA"/>
        </w:rPr>
        <w:t xml:space="preserve"> les conditions suivantes sont réunies</w:t>
      </w:r>
      <w:r w:rsidRPr="009D4254">
        <w:rPr>
          <w:lang w:val="fr-CA"/>
        </w:rPr>
        <w:t> </w:t>
      </w:r>
      <w:r w:rsidR="000B08F2" w:rsidRPr="009D4254">
        <w:rPr>
          <w:lang w:val="fr-CA"/>
        </w:rPr>
        <w:t>:</w:t>
      </w:r>
      <w:bookmarkEnd w:id="226"/>
    </w:p>
    <w:p w14:paraId="0BEFE25A" w14:textId="0C1C9677" w:rsidR="00037C7E" w:rsidRPr="00986BEB" w:rsidRDefault="002A1FCF">
      <w:pPr>
        <w:pStyle w:val="StandardL4"/>
        <w:rPr>
          <w:lang w:val="fr-CA"/>
        </w:rPr>
      </w:pPr>
      <w:bookmarkStart w:id="227" w:name="_Ref448380600"/>
      <w:r w:rsidRPr="0059083D">
        <w:rPr>
          <w:lang w:val="fr-CA"/>
        </w:rPr>
        <w:t xml:space="preserve">un appel public à l’épargne est réalisé en vertu de </w:t>
      </w:r>
      <w:r w:rsidR="00F52467" w:rsidRPr="0059083D">
        <w:rPr>
          <w:lang w:val="fr-CA"/>
        </w:rPr>
        <w:t xml:space="preserve">la Loi de </w:t>
      </w:r>
      <w:r w:rsidR="00F52467" w:rsidRPr="00986BEB">
        <w:rPr>
          <w:lang w:val="fr-CA"/>
        </w:rPr>
        <w:t>1933</w:t>
      </w:r>
      <w:r w:rsidR="002A750A">
        <w:rPr>
          <w:lang w:val="fr-CA"/>
        </w:rPr>
        <w:t>,</w:t>
      </w:r>
      <w:r w:rsidR="000B08F2" w:rsidRPr="0059083D">
        <w:rPr>
          <w:lang w:val="fr-CA"/>
        </w:rPr>
        <w:t xml:space="preserve"> </w:t>
      </w:r>
      <w:r w:rsidRPr="0059083D">
        <w:rPr>
          <w:lang w:val="fr-CA"/>
        </w:rPr>
        <w:t>mais n’est pas également réalisé au moyen d’un prospectus canadien à l’égard duquel un visa ou un document de décision est délivré par une autorité en valeurs mobilières canadienne</w:t>
      </w:r>
      <w:r w:rsidR="000B08F2" w:rsidRPr="0059083D">
        <w:rPr>
          <w:lang w:val="fr-CA"/>
        </w:rPr>
        <w:t>;</w:t>
      </w:r>
      <w:bookmarkEnd w:id="227"/>
    </w:p>
    <w:p w14:paraId="0CCB472D" w14:textId="03F786D5" w:rsidR="00037C7E" w:rsidRPr="00986BEB" w:rsidRDefault="00BC38D2">
      <w:pPr>
        <w:pStyle w:val="StandardL4"/>
        <w:rPr>
          <w:lang w:val="fr-CA"/>
        </w:rPr>
      </w:pPr>
      <w:bookmarkStart w:id="228" w:name="_Ref448380601"/>
      <w:r w:rsidRPr="009D4254">
        <w:rPr>
          <w:lang w:val="fr-CA"/>
        </w:rPr>
        <w:t>l</w:t>
      </w:r>
      <w:r w:rsidR="002A1FCF" w:rsidRPr="009D4254">
        <w:rPr>
          <w:lang w:val="fr-CA"/>
        </w:rPr>
        <w:t xml:space="preserve">es </w:t>
      </w:r>
      <w:r w:rsidR="000B08F2" w:rsidRPr="009D4254">
        <w:rPr>
          <w:lang w:val="fr-CA"/>
        </w:rPr>
        <w:t xml:space="preserve">Actions ordinaires </w:t>
      </w:r>
      <w:r w:rsidR="002A1FCF" w:rsidRPr="009D4254">
        <w:rPr>
          <w:lang w:val="fr-CA"/>
        </w:rPr>
        <w:t xml:space="preserve">sont inscrites à la cote d’une bourse ou cotées sur un marché à l’extérieur du </w:t>
      </w:r>
      <w:r w:rsidR="000B08F2" w:rsidRPr="009D4254">
        <w:rPr>
          <w:lang w:val="fr-CA"/>
        </w:rPr>
        <w:t>Canada;</w:t>
      </w:r>
      <w:bookmarkEnd w:id="228"/>
    </w:p>
    <w:p w14:paraId="6D7650D4" w14:textId="69776681" w:rsidR="00037C7E" w:rsidRPr="00986BEB" w:rsidRDefault="002A1FCF">
      <w:pPr>
        <w:pStyle w:val="StandardL4"/>
        <w:rPr>
          <w:lang w:val="fr-CA"/>
        </w:rPr>
      </w:pPr>
      <w:bookmarkStart w:id="229" w:name="_Ref448380602"/>
      <w:r w:rsidRPr="0059083D">
        <w:rPr>
          <w:lang w:val="fr-CA"/>
        </w:rPr>
        <w:t xml:space="preserve">un </w:t>
      </w:r>
      <w:r w:rsidR="009666EC" w:rsidRPr="0059083D">
        <w:rPr>
          <w:lang w:val="fr-CA"/>
        </w:rPr>
        <w:t xml:space="preserve">Porteur important qui réside dans un territoire canadien </w:t>
      </w:r>
      <w:r w:rsidR="000B08F2" w:rsidRPr="0059083D">
        <w:rPr>
          <w:lang w:val="fr-CA"/>
        </w:rPr>
        <w:t>(</w:t>
      </w:r>
      <w:r w:rsidR="009666EC" w:rsidRPr="0059083D">
        <w:rPr>
          <w:lang w:val="fr-CA"/>
        </w:rPr>
        <w:t>un</w:t>
      </w:r>
      <w:r w:rsidR="000B08F2" w:rsidRPr="0059083D">
        <w:rPr>
          <w:lang w:val="fr-CA"/>
        </w:rPr>
        <w:t xml:space="preserve"> « </w:t>
      </w:r>
      <w:r w:rsidR="009666EC" w:rsidRPr="0059083D">
        <w:rPr>
          <w:b/>
          <w:lang w:val="fr-CA"/>
        </w:rPr>
        <w:t>Porteur canadien</w:t>
      </w:r>
      <w:r w:rsidR="000B08F2" w:rsidRPr="0059083D">
        <w:rPr>
          <w:lang w:val="fr-CA"/>
        </w:rPr>
        <w:t xml:space="preserve"> ») </w:t>
      </w:r>
      <w:r w:rsidR="009666EC" w:rsidRPr="0059083D">
        <w:rPr>
          <w:lang w:val="fr-CA"/>
        </w:rPr>
        <w:t xml:space="preserve">n’est pas autorisé en vertu des </w:t>
      </w:r>
      <w:r w:rsidR="0006561D" w:rsidRPr="0059083D">
        <w:rPr>
          <w:lang w:val="fr-CA"/>
        </w:rPr>
        <w:t>Lois sur les valeurs mobilières canadiennes</w:t>
      </w:r>
      <w:r w:rsidR="000B08F2" w:rsidRPr="0059083D">
        <w:rPr>
          <w:lang w:val="fr-CA"/>
        </w:rPr>
        <w:t xml:space="preserve"> </w:t>
      </w:r>
      <w:r w:rsidR="009666EC" w:rsidRPr="0059083D">
        <w:rPr>
          <w:lang w:val="fr-CA"/>
        </w:rPr>
        <w:t xml:space="preserve">de ce territoire à vendre ses </w:t>
      </w:r>
      <w:r w:rsidR="0006561D" w:rsidRPr="0059083D">
        <w:rPr>
          <w:lang w:val="fr-CA"/>
        </w:rPr>
        <w:t>Titres à inscrire</w:t>
      </w:r>
      <w:r w:rsidR="000B08F2" w:rsidRPr="0059083D">
        <w:rPr>
          <w:lang w:val="fr-CA"/>
        </w:rPr>
        <w:t xml:space="preserve"> </w:t>
      </w:r>
      <w:r w:rsidR="009666EC" w:rsidRPr="0059083D">
        <w:rPr>
          <w:lang w:val="fr-CA"/>
        </w:rPr>
        <w:t xml:space="preserve">à la bourse ou sur le marché où les </w:t>
      </w:r>
      <w:r w:rsidR="000B08F2" w:rsidRPr="0059083D">
        <w:rPr>
          <w:lang w:val="fr-CA"/>
        </w:rPr>
        <w:t xml:space="preserve">Actions ordinaires </w:t>
      </w:r>
      <w:r w:rsidR="009666EC" w:rsidRPr="0059083D">
        <w:rPr>
          <w:lang w:val="fr-CA"/>
        </w:rPr>
        <w:t xml:space="preserve">sont inscrites ou cotées sans déposer un prospectus aux termes des </w:t>
      </w:r>
      <w:r w:rsidR="001F60E8" w:rsidRPr="0059083D">
        <w:rPr>
          <w:lang w:val="fr-CA"/>
        </w:rPr>
        <w:t>Lois sur les valeurs mobilières canadiennes applicables</w:t>
      </w:r>
      <w:r w:rsidR="000B08F2" w:rsidRPr="0059083D">
        <w:rPr>
          <w:lang w:val="fr-CA"/>
        </w:rPr>
        <w:t xml:space="preserve">; </w:t>
      </w:r>
      <w:bookmarkEnd w:id="229"/>
    </w:p>
    <w:p w14:paraId="6F07B9CB" w14:textId="68BA3AC1" w:rsidR="00037C7E" w:rsidRPr="00986BEB" w:rsidRDefault="009666EC">
      <w:pPr>
        <w:pStyle w:val="StandardL4"/>
        <w:rPr>
          <w:lang w:val="fr-CA"/>
        </w:rPr>
      </w:pPr>
      <w:bookmarkStart w:id="230" w:name="_Ref448380603"/>
      <w:r w:rsidRPr="0059083D">
        <w:rPr>
          <w:lang w:val="fr-CA"/>
        </w:rPr>
        <w:t>le Porteur canadien</w:t>
      </w:r>
      <w:r w:rsidR="000B08F2" w:rsidRPr="0059083D">
        <w:rPr>
          <w:lang w:val="fr-CA"/>
        </w:rPr>
        <w:t xml:space="preserve"> </w:t>
      </w:r>
      <w:r w:rsidRPr="0059083D">
        <w:rPr>
          <w:lang w:val="fr-CA"/>
        </w:rPr>
        <w:t xml:space="preserve">remet à </w:t>
      </w:r>
      <w:r w:rsidR="000B08F2" w:rsidRPr="0059083D">
        <w:rPr>
          <w:lang w:val="fr-CA"/>
        </w:rPr>
        <w:t xml:space="preserve">la Société, </w:t>
      </w:r>
      <w:r w:rsidRPr="0059083D">
        <w:rPr>
          <w:lang w:val="fr-CA"/>
        </w:rPr>
        <w:t xml:space="preserve">au plus tôt </w:t>
      </w:r>
      <w:r w:rsidR="000B08F2" w:rsidRPr="00986BEB">
        <w:rPr>
          <w:lang w:val="fr-CA"/>
        </w:rPr>
        <w:t>180</w:t>
      </w:r>
      <w:r w:rsidRPr="0059083D">
        <w:rPr>
          <w:lang w:val="fr-CA"/>
        </w:rPr>
        <w:t> </w:t>
      </w:r>
      <w:r w:rsidR="00C40340">
        <w:rPr>
          <w:lang w:val="fr-CA"/>
        </w:rPr>
        <w:t xml:space="preserve">jours </w:t>
      </w:r>
      <w:r w:rsidRPr="0059083D">
        <w:rPr>
          <w:lang w:val="fr-CA"/>
        </w:rPr>
        <w:t xml:space="preserve">après l’appel public à l’épargne aux États-Unis, un avis indiquant qu’il souhaite vendre des </w:t>
      </w:r>
      <w:r w:rsidR="0006561D" w:rsidRPr="0059083D">
        <w:rPr>
          <w:lang w:val="fr-CA"/>
        </w:rPr>
        <w:t>Titres à inscrire</w:t>
      </w:r>
      <w:r w:rsidR="000B08F2" w:rsidRPr="0059083D">
        <w:rPr>
          <w:lang w:val="fr-CA"/>
        </w:rPr>
        <w:t>,</w:t>
      </w:r>
      <w:bookmarkEnd w:id="230"/>
    </w:p>
    <w:p w14:paraId="166F866D" w14:textId="1B6B0F5D" w:rsidR="00037C7E" w:rsidRPr="009D4254" w:rsidRDefault="009666EC">
      <w:pPr>
        <w:pStyle w:val="StandardCont3"/>
        <w:rPr>
          <w:lang w:val="fr-CA"/>
        </w:rPr>
      </w:pPr>
      <w:r w:rsidRPr="009D4254">
        <w:rPr>
          <w:lang w:val="fr-CA"/>
        </w:rPr>
        <w:t xml:space="preserve">alors la </w:t>
      </w:r>
      <w:r w:rsidR="000B08F2" w:rsidRPr="009D4254">
        <w:rPr>
          <w:lang w:val="fr-CA"/>
        </w:rPr>
        <w:t>Société</w:t>
      </w:r>
      <w:r w:rsidR="00424268">
        <w:rPr>
          <w:lang w:val="fr-CA"/>
        </w:rPr>
        <w:t xml:space="preserve"> prendra l’une ou l’autre des mesures suivantes</w:t>
      </w:r>
      <w:r w:rsidRPr="009D4254">
        <w:rPr>
          <w:lang w:val="fr-CA"/>
        </w:rPr>
        <w:t> </w:t>
      </w:r>
      <w:r w:rsidR="000B08F2" w:rsidRPr="009D4254">
        <w:rPr>
          <w:lang w:val="fr-CA"/>
        </w:rPr>
        <w:t>:</w:t>
      </w:r>
    </w:p>
    <w:p w14:paraId="4F84C9CE" w14:textId="66F79DED" w:rsidR="00037C7E" w:rsidRPr="00986BEB" w:rsidRDefault="00424268">
      <w:pPr>
        <w:pStyle w:val="StandardL5"/>
        <w:rPr>
          <w:lang w:val="fr-CA"/>
        </w:rPr>
      </w:pPr>
      <w:bookmarkStart w:id="231" w:name="_Ref448380604"/>
      <w:r>
        <w:rPr>
          <w:lang w:val="fr-CA"/>
        </w:rPr>
        <w:t xml:space="preserve">elle </w:t>
      </w:r>
      <w:r w:rsidR="009666EC" w:rsidRPr="0059083D">
        <w:rPr>
          <w:lang w:val="fr-CA"/>
        </w:rPr>
        <w:t xml:space="preserve">obtiendra, dans les </w:t>
      </w:r>
      <w:r w:rsidR="009666EC" w:rsidRPr="00986BEB">
        <w:rPr>
          <w:lang w:val="fr-CA"/>
        </w:rPr>
        <w:t>60</w:t>
      </w:r>
      <w:r w:rsidR="009666EC" w:rsidRPr="0059083D">
        <w:rPr>
          <w:lang w:val="fr-CA"/>
        </w:rPr>
        <w:t> jours suivant la réception de l’avis du Porteur canadien</w:t>
      </w:r>
      <w:r w:rsidR="000B08F2" w:rsidRPr="0059083D">
        <w:rPr>
          <w:lang w:val="fr-CA"/>
        </w:rPr>
        <w:t xml:space="preserve">, </w:t>
      </w:r>
      <w:r w:rsidR="009666EC" w:rsidRPr="0059083D">
        <w:rPr>
          <w:lang w:val="fr-CA"/>
        </w:rPr>
        <w:t xml:space="preserve">une dispense discrétionnaire des commissions des valeurs mobilières canadiennes compétentes </w:t>
      </w:r>
      <w:r w:rsidR="00C40340">
        <w:rPr>
          <w:lang w:val="fr-CA"/>
        </w:rPr>
        <w:t>autorisant</w:t>
      </w:r>
      <w:r w:rsidR="009666EC" w:rsidRPr="0059083D">
        <w:rPr>
          <w:lang w:val="fr-CA"/>
        </w:rPr>
        <w:t xml:space="preserve"> la vente des </w:t>
      </w:r>
      <w:r w:rsidR="0006561D" w:rsidRPr="0059083D">
        <w:rPr>
          <w:lang w:val="fr-CA"/>
        </w:rPr>
        <w:t>Titres à inscrire</w:t>
      </w:r>
      <w:r w:rsidR="000B08F2" w:rsidRPr="0059083D">
        <w:rPr>
          <w:lang w:val="fr-CA"/>
        </w:rPr>
        <w:t xml:space="preserve"> </w:t>
      </w:r>
      <w:r w:rsidR="009666EC" w:rsidRPr="0059083D">
        <w:rPr>
          <w:lang w:val="fr-CA"/>
        </w:rPr>
        <w:t>détenus par le Porteur canadien</w:t>
      </w:r>
      <w:r w:rsidR="000B08F2" w:rsidRPr="0059083D">
        <w:rPr>
          <w:lang w:val="fr-CA"/>
        </w:rPr>
        <w:t xml:space="preserve"> </w:t>
      </w:r>
      <w:r w:rsidR="009666EC" w:rsidRPr="0059083D">
        <w:rPr>
          <w:lang w:val="fr-CA"/>
        </w:rPr>
        <w:t xml:space="preserve">à la bourse ou sur le marché où les </w:t>
      </w:r>
      <w:r w:rsidR="000B08F2" w:rsidRPr="0059083D">
        <w:rPr>
          <w:lang w:val="fr-CA"/>
        </w:rPr>
        <w:t xml:space="preserve">Actions ordinaires </w:t>
      </w:r>
      <w:r w:rsidR="009666EC" w:rsidRPr="0059083D">
        <w:rPr>
          <w:lang w:val="fr-CA"/>
        </w:rPr>
        <w:t xml:space="preserve">sont inscrites ou cotées sans déposer un prospectus aux termes des </w:t>
      </w:r>
      <w:r w:rsidR="001F60E8" w:rsidRPr="0059083D">
        <w:rPr>
          <w:lang w:val="fr-CA"/>
        </w:rPr>
        <w:t>Lois sur les valeurs mobilières canadiennes applicables</w:t>
      </w:r>
      <w:r w:rsidR="000B08F2" w:rsidRPr="0059083D">
        <w:rPr>
          <w:lang w:val="fr-CA"/>
        </w:rPr>
        <w:t xml:space="preserve"> </w:t>
      </w:r>
      <w:r w:rsidR="009666EC" w:rsidRPr="0059083D">
        <w:rPr>
          <w:lang w:val="fr-CA"/>
        </w:rPr>
        <w:t xml:space="preserve">et par ailleurs sous réserve des conditions </w:t>
      </w:r>
      <w:r w:rsidR="00BC38D2" w:rsidRPr="0059083D">
        <w:rPr>
          <w:lang w:val="fr-CA"/>
        </w:rPr>
        <w:t xml:space="preserve">que peuvent imposer </w:t>
      </w:r>
      <w:r w:rsidR="009666EC" w:rsidRPr="0059083D">
        <w:rPr>
          <w:lang w:val="fr-CA"/>
        </w:rPr>
        <w:t xml:space="preserve">les </w:t>
      </w:r>
      <w:r w:rsidR="00A04807" w:rsidRPr="0059083D">
        <w:rPr>
          <w:lang w:val="fr-CA"/>
        </w:rPr>
        <w:t>autorités en valeurs mobilières canadiennes</w:t>
      </w:r>
      <w:r w:rsidR="000B08F2" w:rsidRPr="0059083D">
        <w:rPr>
          <w:lang w:val="fr-CA"/>
        </w:rPr>
        <w:t xml:space="preserve"> </w:t>
      </w:r>
      <w:r w:rsidR="009666EC" w:rsidRPr="0059083D">
        <w:rPr>
          <w:lang w:val="fr-CA"/>
        </w:rPr>
        <w:t xml:space="preserve">compétentes et </w:t>
      </w:r>
      <w:r>
        <w:rPr>
          <w:lang w:val="fr-CA"/>
        </w:rPr>
        <w:t xml:space="preserve">dont peuvent convenir </w:t>
      </w:r>
      <w:r w:rsidR="009666EC" w:rsidRPr="0059083D">
        <w:rPr>
          <w:lang w:val="fr-CA"/>
        </w:rPr>
        <w:t>le Porteur canadien</w:t>
      </w:r>
      <w:r w:rsidR="000B08F2" w:rsidRPr="0059083D">
        <w:rPr>
          <w:lang w:val="fr-CA"/>
        </w:rPr>
        <w:t xml:space="preserve"> </w:t>
      </w:r>
      <w:r w:rsidR="009666EC" w:rsidRPr="0059083D">
        <w:rPr>
          <w:lang w:val="fr-CA"/>
        </w:rPr>
        <w:t xml:space="preserve">et </w:t>
      </w:r>
      <w:r w:rsidR="000B08F2" w:rsidRPr="0059083D">
        <w:rPr>
          <w:lang w:val="fr-CA"/>
        </w:rPr>
        <w:t>la Société</w:t>
      </w:r>
      <w:r w:rsidR="009666EC" w:rsidRPr="0059083D">
        <w:rPr>
          <w:lang w:val="fr-CA"/>
        </w:rPr>
        <w:t xml:space="preserve">, agissant </w:t>
      </w:r>
      <w:r w:rsidR="007C4E71" w:rsidRPr="0059083D">
        <w:rPr>
          <w:lang w:val="fr-CA"/>
        </w:rPr>
        <w:t>raisonnablement</w:t>
      </w:r>
      <w:r w:rsidR="000B08F2" w:rsidRPr="0059083D">
        <w:rPr>
          <w:lang w:val="fr-CA"/>
        </w:rPr>
        <w:t xml:space="preserve">; </w:t>
      </w:r>
      <w:bookmarkEnd w:id="231"/>
    </w:p>
    <w:p w14:paraId="343EC53E" w14:textId="2834FE96" w:rsidR="00037C7E" w:rsidRPr="00986BEB" w:rsidRDefault="00424268">
      <w:pPr>
        <w:pStyle w:val="StandardL5"/>
        <w:rPr>
          <w:lang w:val="fr-CA"/>
        </w:rPr>
      </w:pPr>
      <w:bookmarkStart w:id="232" w:name="_Ref448380605"/>
      <w:r>
        <w:rPr>
          <w:lang w:val="fr-CA"/>
        </w:rPr>
        <w:t xml:space="preserve">elle </w:t>
      </w:r>
      <w:r w:rsidR="002C72C8" w:rsidRPr="0059083D">
        <w:rPr>
          <w:lang w:val="fr-CA"/>
        </w:rPr>
        <w:t>déplo</w:t>
      </w:r>
      <w:r w:rsidR="009666EC" w:rsidRPr="0059083D">
        <w:rPr>
          <w:lang w:val="fr-CA"/>
        </w:rPr>
        <w:t>i</w:t>
      </w:r>
      <w:r w:rsidR="002C72C8" w:rsidRPr="0059083D">
        <w:rPr>
          <w:lang w:val="fr-CA"/>
        </w:rPr>
        <w:t>er</w:t>
      </w:r>
      <w:r w:rsidR="009666EC" w:rsidRPr="0059083D">
        <w:rPr>
          <w:lang w:val="fr-CA"/>
        </w:rPr>
        <w:t>a</w:t>
      </w:r>
      <w:r w:rsidR="002C72C8" w:rsidRPr="0059083D">
        <w:rPr>
          <w:lang w:val="fr-CA"/>
        </w:rPr>
        <w:t xml:space="preserve"> des efforts raisonnables sur le plan commercial</w:t>
      </w:r>
      <w:r w:rsidR="000B08F2" w:rsidRPr="0059083D">
        <w:rPr>
          <w:lang w:val="fr-CA"/>
        </w:rPr>
        <w:t xml:space="preserve"> </w:t>
      </w:r>
      <w:r w:rsidR="009666EC" w:rsidRPr="0059083D">
        <w:rPr>
          <w:lang w:val="fr-CA"/>
        </w:rPr>
        <w:t xml:space="preserve">pour devenir un émetteur assujetti aux termes des </w:t>
      </w:r>
      <w:r w:rsidR="0006561D" w:rsidRPr="0059083D">
        <w:rPr>
          <w:lang w:val="fr-CA"/>
        </w:rPr>
        <w:t>Lois sur les valeurs mobilières canadiennes</w:t>
      </w:r>
      <w:r w:rsidR="000B08F2" w:rsidRPr="0059083D">
        <w:rPr>
          <w:lang w:val="fr-CA"/>
        </w:rPr>
        <w:t xml:space="preserve"> </w:t>
      </w:r>
      <w:r w:rsidR="009666EC" w:rsidRPr="0059083D">
        <w:rPr>
          <w:lang w:val="fr-CA"/>
        </w:rPr>
        <w:t xml:space="preserve">de tout territoire du </w:t>
      </w:r>
      <w:r w:rsidR="000B08F2" w:rsidRPr="0059083D">
        <w:rPr>
          <w:lang w:val="fr-CA"/>
        </w:rPr>
        <w:t>Canada (</w:t>
      </w:r>
      <w:r w:rsidR="00BC38D2" w:rsidRPr="0059083D">
        <w:rPr>
          <w:lang w:val="fr-CA"/>
        </w:rPr>
        <w:t xml:space="preserve">au gré de </w:t>
      </w:r>
      <w:r w:rsidR="000B08F2" w:rsidRPr="0059083D">
        <w:rPr>
          <w:lang w:val="fr-CA"/>
        </w:rPr>
        <w:t xml:space="preserve">la Société) </w:t>
      </w:r>
      <w:r w:rsidR="00BC38D2" w:rsidRPr="0059083D">
        <w:rPr>
          <w:lang w:val="fr-CA"/>
        </w:rPr>
        <w:t xml:space="preserve">dans les </w:t>
      </w:r>
      <w:r w:rsidR="000B08F2" w:rsidRPr="00986BEB">
        <w:rPr>
          <w:lang w:val="fr-CA"/>
        </w:rPr>
        <w:t>90</w:t>
      </w:r>
      <w:r w:rsidR="00BC38D2" w:rsidRPr="0059083D">
        <w:rPr>
          <w:lang w:val="fr-CA"/>
        </w:rPr>
        <w:t xml:space="preserve"> jours suivant la réception de l’avis du </w:t>
      </w:r>
      <w:r w:rsidR="009666EC" w:rsidRPr="0059083D">
        <w:rPr>
          <w:lang w:val="fr-CA"/>
        </w:rPr>
        <w:t>Porteur canadien</w:t>
      </w:r>
      <w:r w:rsidR="000B08F2" w:rsidRPr="0059083D">
        <w:rPr>
          <w:lang w:val="fr-CA"/>
        </w:rPr>
        <w:t xml:space="preserve"> </w:t>
      </w:r>
      <w:r w:rsidR="00BC38D2" w:rsidRPr="0059083D">
        <w:rPr>
          <w:lang w:val="fr-CA"/>
        </w:rPr>
        <w:t>ou dès qu</w:t>
      </w:r>
      <w:r>
        <w:rPr>
          <w:lang w:val="fr-CA"/>
        </w:rPr>
        <w:t>e les circonstances le permettent par la suite</w:t>
      </w:r>
      <w:r w:rsidR="000B08F2" w:rsidRPr="0059083D">
        <w:rPr>
          <w:lang w:val="fr-CA"/>
        </w:rPr>
        <w:t>.</w:t>
      </w:r>
      <w:bookmarkEnd w:id="232"/>
    </w:p>
    <w:p w14:paraId="6721BA75" w14:textId="33A9EF73" w:rsidR="00037C7E" w:rsidRPr="00986BEB" w:rsidRDefault="00BC38D2">
      <w:pPr>
        <w:pStyle w:val="StandardL2"/>
        <w:rPr>
          <w:lang w:val="fr-CA"/>
        </w:rPr>
      </w:pPr>
      <w:bookmarkStart w:id="233" w:name="_Ref448380606"/>
      <w:bookmarkStart w:id="234" w:name="_Toc132874731"/>
      <w:r w:rsidRPr="009D4254">
        <w:rPr>
          <w:lang w:val="fr-CA"/>
        </w:rPr>
        <w:t>Droits supplémentaires</w:t>
      </w:r>
      <w:r w:rsidR="000B08F2" w:rsidRPr="009D4254">
        <w:rPr>
          <w:lang w:val="fr-CA"/>
        </w:rPr>
        <w:t xml:space="preserve"> – </w:t>
      </w:r>
      <w:bookmarkEnd w:id="233"/>
      <w:r w:rsidRPr="0059083D">
        <w:rPr>
          <w:lang w:val="fr-CA"/>
        </w:rPr>
        <w:t>États-Unis</w:t>
      </w:r>
      <w:bookmarkEnd w:id="234"/>
    </w:p>
    <w:p w14:paraId="13FAF9AA" w14:textId="3281FF60" w:rsidR="00037C7E" w:rsidRPr="00986BEB" w:rsidRDefault="00BC38D2">
      <w:pPr>
        <w:pStyle w:val="StandardL3"/>
        <w:rPr>
          <w:lang w:val="fr-CA"/>
        </w:rPr>
      </w:pPr>
      <w:bookmarkStart w:id="235" w:name="_Ref448380607"/>
      <w:r w:rsidRPr="009D4254">
        <w:rPr>
          <w:lang w:val="fr-CA"/>
        </w:rPr>
        <w:t>Si</w:t>
      </w:r>
      <w:r w:rsidR="003C0104">
        <w:rPr>
          <w:lang w:val="fr-CA"/>
        </w:rPr>
        <w:t xml:space="preserve"> les conditions suivantes sont réunies</w:t>
      </w:r>
      <w:r w:rsidRPr="009D4254">
        <w:rPr>
          <w:lang w:val="fr-CA"/>
        </w:rPr>
        <w:t> </w:t>
      </w:r>
      <w:r w:rsidR="000B08F2" w:rsidRPr="009D4254">
        <w:rPr>
          <w:lang w:val="fr-CA"/>
        </w:rPr>
        <w:t>:</w:t>
      </w:r>
      <w:bookmarkEnd w:id="235"/>
    </w:p>
    <w:p w14:paraId="1E48BC76" w14:textId="120BE638" w:rsidR="00037C7E" w:rsidRPr="00986BEB" w:rsidRDefault="00BC38D2" w:rsidP="00BC38D2">
      <w:pPr>
        <w:pStyle w:val="StandardL4"/>
        <w:rPr>
          <w:lang w:val="fr-CA"/>
        </w:rPr>
      </w:pPr>
      <w:bookmarkStart w:id="236" w:name="_Ref448380608"/>
      <w:r w:rsidRPr="0059083D">
        <w:rPr>
          <w:lang w:val="fr-CA"/>
        </w:rPr>
        <w:t>un appel public à l’épargne est réalisé en vertu des Lois sur les valeurs mobilières canadiennes</w:t>
      </w:r>
      <w:r w:rsidR="003C0104">
        <w:rPr>
          <w:lang w:val="fr-CA"/>
        </w:rPr>
        <w:t>,</w:t>
      </w:r>
      <w:r w:rsidRPr="0059083D">
        <w:rPr>
          <w:lang w:val="fr-CA"/>
        </w:rPr>
        <w:t xml:space="preserve"> mais n’est pas également réalisé aux termes d’une déclaration d’inscription qui a été déclarée en vigueur par la </w:t>
      </w:r>
      <w:r w:rsidR="000B08F2" w:rsidRPr="0059083D">
        <w:rPr>
          <w:lang w:val="fr-CA"/>
        </w:rPr>
        <w:t>SEC;</w:t>
      </w:r>
      <w:bookmarkEnd w:id="236"/>
    </w:p>
    <w:p w14:paraId="6772BC34" w14:textId="496D861E" w:rsidR="00037C7E" w:rsidRPr="00986BEB" w:rsidRDefault="00BC38D2">
      <w:pPr>
        <w:pStyle w:val="StandardL4"/>
        <w:rPr>
          <w:lang w:val="fr-CA"/>
        </w:rPr>
      </w:pPr>
      <w:bookmarkStart w:id="237" w:name="_Ref448380609"/>
      <w:r w:rsidRPr="009D4254">
        <w:rPr>
          <w:lang w:val="fr-CA"/>
        </w:rPr>
        <w:t>les Actions ordinaires sont inscrites à la cote d’une bourse ou cotées sur un marché à l’extérieur des États-Unis</w:t>
      </w:r>
      <w:r w:rsidR="000B08F2" w:rsidRPr="009D4254">
        <w:rPr>
          <w:lang w:val="fr-CA"/>
        </w:rPr>
        <w:t>;</w:t>
      </w:r>
      <w:bookmarkEnd w:id="237"/>
    </w:p>
    <w:p w14:paraId="37AAFFB7" w14:textId="27B7C3F9" w:rsidR="00037C7E" w:rsidRPr="00986BEB" w:rsidRDefault="00BC38D2" w:rsidP="00BC38D2">
      <w:pPr>
        <w:pStyle w:val="StandardL4"/>
        <w:rPr>
          <w:lang w:val="fr-CA"/>
        </w:rPr>
      </w:pPr>
      <w:bookmarkStart w:id="238" w:name="_Ref448380610"/>
      <w:r w:rsidRPr="0059083D">
        <w:rPr>
          <w:lang w:val="fr-CA"/>
        </w:rPr>
        <w:t>un Porteur important qui réside aux États-Unis (un « </w:t>
      </w:r>
      <w:r w:rsidRPr="0059083D">
        <w:rPr>
          <w:b/>
          <w:lang w:val="fr-CA"/>
        </w:rPr>
        <w:t>Porteur américain</w:t>
      </w:r>
      <w:r w:rsidRPr="0059083D">
        <w:rPr>
          <w:lang w:val="fr-CA"/>
        </w:rPr>
        <w:t xml:space="preserve"> ») n’est pas autorisé en vertu des lois sur les valeurs mobilières américaines à vendre ses Titres à inscrire à la bourse ou sur le marché où les Actions ordinaires sont inscrites ou cotées sans déposer une déclaration d’inscription aux termes de </w:t>
      </w:r>
      <w:r w:rsidR="00F52467" w:rsidRPr="0059083D">
        <w:rPr>
          <w:lang w:val="fr-CA"/>
        </w:rPr>
        <w:t xml:space="preserve">la Loi de </w:t>
      </w:r>
      <w:r w:rsidR="00F52467" w:rsidRPr="00986BEB">
        <w:rPr>
          <w:lang w:val="fr-CA"/>
        </w:rPr>
        <w:t>1933</w:t>
      </w:r>
      <w:r w:rsidR="000B08F2" w:rsidRPr="0059083D">
        <w:rPr>
          <w:lang w:val="fr-CA"/>
        </w:rPr>
        <w:t>;</w:t>
      </w:r>
      <w:bookmarkEnd w:id="238"/>
    </w:p>
    <w:p w14:paraId="3620EDBE" w14:textId="09EAFAC4" w:rsidR="00037C7E" w:rsidRPr="00986BEB" w:rsidRDefault="00BC38D2">
      <w:pPr>
        <w:pStyle w:val="StandardL4"/>
        <w:rPr>
          <w:lang w:val="fr-CA"/>
        </w:rPr>
      </w:pPr>
      <w:bookmarkStart w:id="239" w:name="_Ref448380611"/>
      <w:r w:rsidRPr="0059083D">
        <w:rPr>
          <w:lang w:val="fr-CA"/>
        </w:rPr>
        <w:t xml:space="preserve">le Porteur américain remet à la Société, au plus tôt </w:t>
      </w:r>
      <w:r w:rsidRPr="00986BEB">
        <w:rPr>
          <w:lang w:val="fr-CA"/>
        </w:rPr>
        <w:t>180</w:t>
      </w:r>
      <w:r w:rsidRPr="0059083D">
        <w:rPr>
          <w:lang w:val="fr-CA"/>
        </w:rPr>
        <w:t xml:space="preserve"> jours après l’appel public à l’épargne au Canada, un avis écrit </w:t>
      </w:r>
      <w:r w:rsidR="000B08F2" w:rsidRPr="0059083D">
        <w:rPr>
          <w:lang w:val="fr-CA"/>
        </w:rPr>
        <w:t>(</w:t>
      </w:r>
      <w:r w:rsidRPr="0059083D">
        <w:rPr>
          <w:lang w:val="fr-CA"/>
        </w:rPr>
        <w:t>l’</w:t>
      </w:r>
      <w:r w:rsidR="000B08F2" w:rsidRPr="0059083D">
        <w:rPr>
          <w:lang w:val="fr-CA"/>
        </w:rPr>
        <w:t>« </w:t>
      </w:r>
      <w:r w:rsidRPr="0059083D">
        <w:rPr>
          <w:b/>
          <w:lang w:val="fr-CA"/>
        </w:rPr>
        <w:t>Avis de vente</w:t>
      </w:r>
      <w:r w:rsidR="000B08F2" w:rsidRPr="0059083D">
        <w:rPr>
          <w:lang w:val="fr-CA"/>
        </w:rPr>
        <w:t xml:space="preserve"> ») </w:t>
      </w:r>
      <w:r w:rsidRPr="0059083D">
        <w:rPr>
          <w:lang w:val="fr-CA"/>
        </w:rPr>
        <w:t xml:space="preserve">indiquant qu’il souhaite vendre des </w:t>
      </w:r>
      <w:r w:rsidR="0006561D" w:rsidRPr="0059083D">
        <w:rPr>
          <w:lang w:val="fr-CA"/>
        </w:rPr>
        <w:t>Titres à inscrire</w:t>
      </w:r>
      <w:r w:rsidR="000B08F2" w:rsidRPr="0059083D">
        <w:rPr>
          <w:lang w:val="fr-CA"/>
        </w:rPr>
        <w:t xml:space="preserve"> </w:t>
      </w:r>
      <w:r w:rsidRPr="0059083D">
        <w:rPr>
          <w:lang w:val="fr-CA"/>
        </w:rPr>
        <w:t>et un avis d’un conseiller juridique confirmant que ce Porteur américain</w:t>
      </w:r>
      <w:r w:rsidR="000B08F2" w:rsidRPr="0059083D">
        <w:rPr>
          <w:lang w:val="fr-CA"/>
        </w:rPr>
        <w:t xml:space="preserve"> </w:t>
      </w:r>
      <w:r w:rsidRPr="0059083D">
        <w:rPr>
          <w:lang w:val="fr-CA"/>
        </w:rPr>
        <w:t xml:space="preserve">n’est pas autorisé en vertu des lois sur les valeurs mobilières américaines à vendre ses </w:t>
      </w:r>
      <w:r w:rsidR="0006561D" w:rsidRPr="0059083D">
        <w:rPr>
          <w:lang w:val="fr-CA"/>
        </w:rPr>
        <w:t>Titres à inscrire</w:t>
      </w:r>
      <w:r w:rsidR="000B08F2" w:rsidRPr="0059083D">
        <w:rPr>
          <w:lang w:val="fr-CA"/>
        </w:rPr>
        <w:t xml:space="preserve"> </w:t>
      </w:r>
      <w:r w:rsidRPr="0059083D">
        <w:rPr>
          <w:lang w:val="fr-CA"/>
        </w:rPr>
        <w:t xml:space="preserve">à la bourse ou sur le marché où les </w:t>
      </w:r>
      <w:r w:rsidR="000B08F2" w:rsidRPr="0059083D">
        <w:rPr>
          <w:lang w:val="fr-CA"/>
        </w:rPr>
        <w:t xml:space="preserve">Actions ordinaires </w:t>
      </w:r>
      <w:r w:rsidRPr="0059083D">
        <w:rPr>
          <w:lang w:val="fr-CA"/>
        </w:rPr>
        <w:t xml:space="preserve">sont inscrites ou cotées sans déposer une </w:t>
      </w:r>
      <w:r w:rsidR="002A0F83" w:rsidRPr="0059083D">
        <w:rPr>
          <w:lang w:val="fr-CA"/>
        </w:rPr>
        <w:t>déclaration d’inscription</w:t>
      </w:r>
      <w:r w:rsidR="000B08F2" w:rsidRPr="0059083D">
        <w:rPr>
          <w:lang w:val="fr-CA"/>
        </w:rPr>
        <w:t xml:space="preserve"> </w:t>
      </w:r>
      <w:r w:rsidRPr="0059083D">
        <w:rPr>
          <w:lang w:val="fr-CA"/>
        </w:rPr>
        <w:t xml:space="preserve">aux termes de </w:t>
      </w:r>
      <w:r w:rsidR="00F52467" w:rsidRPr="0059083D">
        <w:rPr>
          <w:lang w:val="fr-CA"/>
        </w:rPr>
        <w:t xml:space="preserve">la Loi de </w:t>
      </w:r>
      <w:r w:rsidR="00F52467" w:rsidRPr="00986BEB">
        <w:rPr>
          <w:lang w:val="fr-CA"/>
        </w:rPr>
        <w:t>1933</w:t>
      </w:r>
      <w:r w:rsidR="000B08F2" w:rsidRPr="0059083D">
        <w:rPr>
          <w:lang w:val="fr-CA"/>
        </w:rPr>
        <w:t xml:space="preserve">; </w:t>
      </w:r>
      <w:bookmarkEnd w:id="239"/>
    </w:p>
    <w:p w14:paraId="284D58D5" w14:textId="4FE5E127" w:rsidR="00037C7E" w:rsidRPr="00986BEB" w:rsidRDefault="000B08F2">
      <w:pPr>
        <w:pStyle w:val="StandardL4"/>
        <w:rPr>
          <w:lang w:val="fr-CA"/>
        </w:rPr>
      </w:pPr>
      <w:bookmarkStart w:id="240" w:name="_Ref448380612"/>
      <w:r w:rsidRPr="0059083D">
        <w:rPr>
          <w:lang w:val="fr-CA"/>
        </w:rPr>
        <w:t xml:space="preserve">la Société </w:t>
      </w:r>
      <w:r w:rsidR="00BC38D2" w:rsidRPr="0059083D">
        <w:rPr>
          <w:lang w:val="fr-CA"/>
        </w:rPr>
        <w:t xml:space="preserve">n’obtient pas, dans les </w:t>
      </w:r>
      <w:r w:rsidRPr="00986BEB">
        <w:rPr>
          <w:lang w:val="fr-CA"/>
        </w:rPr>
        <w:t>60</w:t>
      </w:r>
      <w:r w:rsidR="00BC38D2" w:rsidRPr="0059083D">
        <w:rPr>
          <w:lang w:val="fr-CA"/>
        </w:rPr>
        <w:t xml:space="preserve"> jours suivant la réception de l’Avis de vente, une lettre de non-intervention ou une dispense semblable de la </w:t>
      </w:r>
      <w:r w:rsidRPr="0059083D">
        <w:rPr>
          <w:lang w:val="fr-CA"/>
        </w:rPr>
        <w:t xml:space="preserve">SEC </w:t>
      </w:r>
      <w:r w:rsidR="003C0104">
        <w:rPr>
          <w:lang w:val="fr-CA"/>
        </w:rPr>
        <w:t>autorisant</w:t>
      </w:r>
      <w:r w:rsidR="00BC38D2" w:rsidRPr="0059083D">
        <w:rPr>
          <w:lang w:val="fr-CA"/>
        </w:rPr>
        <w:t xml:space="preserve"> la vente des </w:t>
      </w:r>
      <w:r w:rsidR="0006561D" w:rsidRPr="0059083D">
        <w:rPr>
          <w:lang w:val="fr-CA"/>
        </w:rPr>
        <w:t>Titres à inscrire</w:t>
      </w:r>
      <w:r w:rsidRPr="0059083D">
        <w:rPr>
          <w:lang w:val="fr-CA"/>
        </w:rPr>
        <w:t xml:space="preserve"> </w:t>
      </w:r>
      <w:r w:rsidR="00BC38D2" w:rsidRPr="0059083D">
        <w:rPr>
          <w:lang w:val="fr-CA"/>
        </w:rPr>
        <w:t>détenus par le Porteur américain</w:t>
      </w:r>
      <w:r w:rsidRPr="0059083D">
        <w:rPr>
          <w:lang w:val="fr-CA"/>
        </w:rPr>
        <w:t xml:space="preserve"> </w:t>
      </w:r>
      <w:r w:rsidR="00BC38D2" w:rsidRPr="0059083D">
        <w:rPr>
          <w:lang w:val="fr-CA"/>
        </w:rPr>
        <w:t xml:space="preserve">à la bourse ou sur le marché où les </w:t>
      </w:r>
      <w:r w:rsidRPr="0059083D">
        <w:rPr>
          <w:lang w:val="fr-CA"/>
        </w:rPr>
        <w:t xml:space="preserve">Actions ordinaires </w:t>
      </w:r>
      <w:r w:rsidR="00BC38D2" w:rsidRPr="0059083D">
        <w:rPr>
          <w:lang w:val="fr-CA"/>
        </w:rPr>
        <w:t xml:space="preserve">sont inscrites ou cotées sans déposer une </w:t>
      </w:r>
      <w:r w:rsidR="002A0F83" w:rsidRPr="0059083D">
        <w:rPr>
          <w:lang w:val="fr-CA"/>
        </w:rPr>
        <w:t>déclaration d’inscription</w:t>
      </w:r>
      <w:r w:rsidRPr="0059083D">
        <w:rPr>
          <w:lang w:val="fr-CA"/>
        </w:rPr>
        <w:t xml:space="preserve"> </w:t>
      </w:r>
      <w:r w:rsidR="00BC38D2" w:rsidRPr="0059083D">
        <w:rPr>
          <w:lang w:val="fr-CA"/>
        </w:rPr>
        <w:t xml:space="preserve">et par ailleurs sous réserve des conditions que la SEC peut imposer et </w:t>
      </w:r>
      <w:r w:rsidR="003C0104">
        <w:rPr>
          <w:lang w:val="fr-CA"/>
        </w:rPr>
        <w:t xml:space="preserve">dont </w:t>
      </w:r>
      <w:r w:rsidR="00BC38D2" w:rsidRPr="0059083D">
        <w:rPr>
          <w:lang w:val="fr-CA"/>
        </w:rPr>
        <w:t>le Porteur américain</w:t>
      </w:r>
      <w:r w:rsidRPr="0059083D">
        <w:rPr>
          <w:lang w:val="fr-CA"/>
        </w:rPr>
        <w:t xml:space="preserve"> </w:t>
      </w:r>
      <w:r w:rsidR="00BC38D2" w:rsidRPr="0059083D">
        <w:rPr>
          <w:lang w:val="fr-CA"/>
        </w:rPr>
        <w:t xml:space="preserve">et </w:t>
      </w:r>
      <w:r w:rsidRPr="0059083D">
        <w:rPr>
          <w:lang w:val="fr-CA"/>
        </w:rPr>
        <w:t xml:space="preserve">la Société </w:t>
      </w:r>
      <w:r w:rsidR="003C0104">
        <w:rPr>
          <w:lang w:val="fr-CA"/>
        </w:rPr>
        <w:t>peuvent convenir</w:t>
      </w:r>
      <w:r w:rsidR="00BC38D2" w:rsidRPr="0059083D">
        <w:rPr>
          <w:lang w:val="fr-CA"/>
        </w:rPr>
        <w:t>, agissant raisonnablement</w:t>
      </w:r>
      <w:r w:rsidRPr="0059083D">
        <w:rPr>
          <w:lang w:val="fr-CA"/>
        </w:rPr>
        <w:t>,</w:t>
      </w:r>
      <w:bookmarkEnd w:id="240"/>
    </w:p>
    <w:p w14:paraId="3A55AFCE" w14:textId="722F6979" w:rsidR="00037C7E" w:rsidRPr="0059083D" w:rsidRDefault="00BC38D2">
      <w:pPr>
        <w:pStyle w:val="StandardCont3"/>
        <w:rPr>
          <w:lang w:val="fr-CA"/>
        </w:rPr>
      </w:pPr>
      <w:r w:rsidRPr="0059083D">
        <w:rPr>
          <w:lang w:val="fr-CA"/>
        </w:rPr>
        <w:t xml:space="preserve">alors la </w:t>
      </w:r>
      <w:r w:rsidR="000B08F2" w:rsidRPr="0059083D">
        <w:rPr>
          <w:lang w:val="fr-CA"/>
        </w:rPr>
        <w:t xml:space="preserve">Société </w:t>
      </w:r>
      <w:r w:rsidRPr="0059083D">
        <w:rPr>
          <w:lang w:val="fr-CA"/>
        </w:rPr>
        <w:t xml:space="preserve">déposera, </w:t>
      </w:r>
      <w:r w:rsidR="004D3453">
        <w:rPr>
          <w:lang w:val="fr-CA"/>
        </w:rPr>
        <w:t>dans les meilleurs délais</w:t>
      </w:r>
      <w:r w:rsidRPr="0059083D">
        <w:rPr>
          <w:lang w:val="fr-CA"/>
        </w:rPr>
        <w:t xml:space="preserve"> (et dans tous les cas au plus tard </w:t>
      </w:r>
      <w:r w:rsidRPr="00986BEB">
        <w:rPr>
          <w:lang w:val="fr-CA"/>
        </w:rPr>
        <w:t>90</w:t>
      </w:r>
      <w:r w:rsidRPr="0059083D">
        <w:rPr>
          <w:lang w:val="fr-CA"/>
        </w:rPr>
        <w:t> </w:t>
      </w:r>
      <w:r w:rsidR="004D3453">
        <w:rPr>
          <w:lang w:val="fr-CA"/>
        </w:rPr>
        <w:t>jours</w:t>
      </w:r>
      <w:r w:rsidRPr="0059083D">
        <w:rPr>
          <w:lang w:val="fr-CA"/>
        </w:rPr>
        <w:t xml:space="preserve">) </w:t>
      </w:r>
      <w:r w:rsidR="004D3453">
        <w:rPr>
          <w:lang w:val="fr-CA"/>
        </w:rPr>
        <w:t xml:space="preserve">après </w:t>
      </w:r>
      <w:r w:rsidRPr="0059083D">
        <w:rPr>
          <w:lang w:val="fr-CA"/>
        </w:rPr>
        <w:t>la réception de l’Avis de vente</w:t>
      </w:r>
      <w:r w:rsidR="000B08F2" w:rsidRPr="0059083D">
        <w:rPr>
          <w:lang w:val="fr-CA"/>
        </w:rPr>
        <w:t xml:space="preserve">, </w:t>
      </w:r>
      <w:r w:rsidRPr="0059083D">
        <w:rPr>
          <w:lang w:val="fr-CA"/>
        </w:rPr>
        <w:t xml:space="preserve">une </w:t>
      </w:r>
      <w:r w:rsidR="002A0F83" w:rsidRPr="0059083D">
        <w:rPr>
          <w:lang w:val="fr-CA"/>
        </w:rPr>
        <w:t>déclaration d’inscription</w:t>
      </w:r>
      <w:r w:rsidR="000B08F2" w:rsidRPr="0059083D">
        <w:rPr>
          <w:lang w:val="fr-CA"/>
        </w:rPr>
        <w:t xml:space="preserve"> </w:t>
      </w:r>
      <w:r w:rsidRPr="0059083D">
        <w:rPr>
          <w:lang w:val="fr-CA"/>
        </w:rPr>
        <w:t xml:space="preserve">en vertu de </w:t>
      </w:r>
      <w:r w:rsidR="00F52467" w:rsidRPr="0059083D">
        <w:rPr>
          <w:lang w:val="fr-CA"/>
        </w:rPr>
        <w:t xml:space="preserve">la Loi de </w:t>
      </w:r>
      <w:r w:rsidR="00F52467" w:rsidRPr="00986BEB">
        <w:rPr>
          <w:lang w:val="fr-CA"/>
        </w:rPr>
        <w:t>1933</w:t>
      </w:r>
      <w:r w:rsidR="000B08F2" w:rsidRPr="0059083D">
        <w:rPr>
          <w:lang w:val="fr-CA"/>
        </w:rPr>
        <w:t xml:space="preserve"> </w:t>
      </w:r>
      <w:r w:rsidRPr="0059083D">
        <w:rPr>
          <w:lang w:val="fr-CA"/>
        </w:rPr>
        <w:t xml:space="preserve">visant les </w:t>
      </w:r>
      <w:r w:rsidR="0006561D" w:rsidRPr="0059083D">
        <w:rPr>
          <w:lang w:val="fr-CA"/>
        </w:rPr>
        <w:t>Titres à inscrire</w:t>
      </w:r>
      <w:r w:rsidR="000B08F2" w:rsidRPr="0059083D">
        <w:rPr>
          <w:lang w:val="fr-CA"/>
        </w:rPr>
        <w:t xml:space="preserve"> </w:t>
      </w:r>
      <w:r w:rsidRPr="0059083D">
        <w:rPr>
          <w:lang w:val="fr-CA"/>
        </w:rPr>
        <w:t>dont l’inscription est demandé</w:t>
      </w:r>
      <w:r w:rsidR="003642B7">
        <w:rPr>
          <w:lang w:val="fr-CA"/>
        </w:rPr>
        <w:t>e</w:t>
      </w:r>
      <w:r w:rsidRPr="0059083D">
        <w:rPr>
          <w:lang w:val="fr-CA"/>
        </w:rPr>
        <w:t xml:space="preserve"> et </w:t>
      </w:r>
      <w:r w:rsidR="002C72C8" w:rsidRPr="0059083D">
        <w:rPr>
          <w:lang w:val="fr-CA"/>
        </w:rPr>
        <w:t>déplo</w:t>
      </w:r>
      <w:r w:rsidRPr="0059083D">
        <w:rPr>
          <w:lang w:val="fr-CA"/>
        </w:rPr>
        <w:t xml:space="preserve">iera </w:t>
      </w:r>
      <w:r w:rsidR="002C72C8" w:rsidRPr="0059083D">
        <w:rPr>
          <w:lang w:val="fr-CA"/>
        </w:rPr>
        <w:t>des efforts raisonnables sur le plan commercial</w:t>
      </w:r>
      <w:r w:rsidR="000B08F2" w:rsidRPr="0059083D">
        <w:rPr>
          <w:lang w:val="fr-CA"/>
        </w:rPr>
        <w:t xml:space="preserve"> </w:t>
      </w:r>
      <w:r w:rsidRPr="0059083D">
        <w:rPr>
          <w:lang w:val="fr-CA"/>
        </w:rPr>
        <w:t xml:space="preserve">pour effectuer cette inscription de manière à permettre ou à faciliter le placement de la totalité ou d’une partie des </w:t>
      </w:r>
      <w:r w:rsidR="0006561D" w:rsidRPr="0059083D">
        <w:rPr>
          <w:lang w:val="fr-CA"/>
        </w:rPr>
        <w:t>Titres à inscrire</w:t>
      </w:r>
      <w:r w:rsidR="000B08F2" w:rsidRPr="0059083D">
        <w:rPr>
          <w:lang w:val="fr-CA"/>
        </w:rPr>
        <w:t xml:space="preserve"> </w:t>
      </w:r>
      <w:r w:rsidR="004D3453">
        <w:rPr>
          <w:lang w:val="fr-CA"/>
        </w:rPr>
        <w:t xml:space="preserve">comme il est indiqué </w:t>
      </w:r>
      <w:r w:rsidRPr="0059083D">
        <w:rPr>
          <w:lang w:val="fr-CA"/>
        </w:rPr>
        <w:t>dans l’Avis de vente</w:t>
      </w:r>
      <w:r w:rsidR="000B08F2" w:rsidRPr="0059083D">
        <w:rPr>
          <w:lang w:val="fr-CA"/>
        </w:rPr>
        <w:t>.</w:t>
      </w:r>
    </w:p>
    <w:p w14:paraId="0446562B" w14:textId="15E2BA43" w:rsidR="001A7FF9" w:rsidRPr="00986BEB" w:rsidRDefault="000B08F2" w:rsidP="001A7FF9">
      <w:pPr>
        <w:pStyle w:val="StandardL2"/>
        <w:rPr>
          <w:lang w:val="fr-CA"/>
        </w:rPr>
      </w:pPr>
      <w:bookmarkStart w:id="241" w:name="_Toc132874732"/>
      <w:r w:rsidRPr="0059083D">
        <w:rPr>
          <w:lang w:val="fr-CA"/>
        </w:rPr>
        <w:t>Limitations</w:t>
      </w:r>
      <w:r w:rsidR="0006151F" w:rsidRPr="0059083D">
        <w:rPr>
          <w:lang w:val="fr-CA"/>
        </w:rPr>
        <w:t xml:space="preserve"> territoriales</w:t>
      </w:r>
      <w:r w:rsidRPr="0059083D">
        <w:rPr>
          <w:lang w:val="fr-CA"/>
        </w:rPr>
        <w:t>.</w:t>
      </w:r>
      <w:bookmarkEnd w:id="241"/>
    </w:p>
    <w:p w14:paraId="19646B6B" w14:textId="718A1B90" w:rsidR="00037C7E" w:rsidRPr="0059083D" w:rsidRDefault="000B08F2" w:rsidP="001A7FF9">
      <w:pPr>
        <w:pStyle w:val="BodyText-FLI-10"/>
        <w:ind w:firstLine="0"/>
        <w:rPr>
          <w:lang w:val="fr-CA"/>
        </w:rPr>
      </w:pPr>
      <w:r w:rsidRPr="0059083D">
        <w:rPr>
          <w:rFonts w:eastAsia="Times New Roman" w:cs="Times New Roman"/>
          <w:snapToGrid w:val="0"/>
          <w:szCs w:val="20"/>
          <w:lang w:val="fr-CA"/>
        </w:rPr>
        <w:t>La Société</w:t>
      </w:r>
      <w:r w:rsidR="00443986" w:rsidRPr="0059083D">
        <w:rPr>
          <w:rFonts w:eastAsia="Times New Roman" w:cs="Times New Roman"/>
          <w:snapToGrid w:val="0"/>
          <w:szCs w:val="20"/>
          <w:lang w:val="fr-CA"/>
        </w:rPr>
        <w:t xml:space="preserve"> peut décider que le PAPE sera réalisé uniquement aux </w:t>
      </w:r>
      <w:r w:rsidR="00BC38D2" w:rsidRPr="0059083D">
        <w:rPr>
          <w:rFonts w:eastAsia="Times New Roman" w:cs="Times New Roman"/>
          <w:snapToGrid w:val="0"/>
          <w:szCs w:val="20"/>
          <w:lang w:val="fr-CA"/>
        </w:rPr>
        <w:t>États-Unis</w:t>
      </w:r>
      <w:r w:rsidRPr="0059083D">
        <w:rPr>
          <w:rFonts w:eastAsia="Times New Roman" w:cs="Times New Roman"/>
          <w:snapToGrid w:val="0"/>
          <w:szCs w:val="20"/>
          <w:lang w:val="fr-CA"/>
        </w:rPr>
        <w:t xml:space="preserve">, </w:t>
      </w:r>
      <w:r w:rsidR="00443986" w:rsidRPr="0059083D">
        <w:rPr>
          <w:rFonts w:eastAsia="Times New Roman" w:cs="Times New Roman"/>
          <w:snapToGrid w:val="0"/>
          <w:szCs w:val="20"/>
          <w:lang w:val="fr-CA"/>
        </w:rPr>
        <w:t xml:space="preserve">uniquement au </w:t>
      </w:r>
      <w:r w:rsidRPr="0059083D">
        <w:rPr>
          <w:rFonts w:eastAsia="Times New Roman" w:cs="Times New Roman"/>
          <w:snapToGrid w:val="0"/>
          <w:szCs w:val="20"/>
          <w:lang w:val="fr-CA"/>
        </w:rPr>
        <w:t xml:space="preserve">Canada, </w:t>
      </w:r>
      <w:r w:rsidR="00443986" w:rsidRPr="0059083D">
        <w:rPr>
          <w:rFonts w:eastAsia="Times New Roman" w:cs="Times New Roman"/>
          <w:snapToGrid w:val="0"/>
          <w:szCs w:val="20"/>
          <w:lang w:val="fr-CA"/>
        </w:rPr>
        <w:t xml:space="preserve">ou </w:t>
      </w:r>
      <w:r w:rsidR="003754E4">
        <w:rPr>
          <w:rFonts w:eastAsia="Times New Roman" w:cs="Times New Roman"/>
          <w:snapToGrid w:val="0"/>
          <w:szCs w:val="20"/>
          <w:lang w:val="fr-CA"/>
        </w:rPr>
        <w:t xml:space="preserve">à la fois </w:t>
      </w:r>
      <w:r w:rsidR="00443986" w:rsidRPr="0059083D">
        <w:rPr>
          <w:rFonts w:eastAsia="Times New Roman" w:cs="Times New Roman"/>
          <w:snapToGrid w:val="0"/>
          <w:szCs w:val="20"/>
          <w:lang w:val="fr-CA"/>
        </w:rPr>
        <w:t xml:space="preserve">aux </w:t>
      </w:r>
      <w:r w:rsidR="00BC38D2" w:rsidRPr="0059083D">
        <w:rPr>
          <w:lang w:val="fr-CA"/>
        </w:rPr>
        <w:t>États-Unis</w:t>
      </w:r>
      <w:r w:rsidRPr="0059083D">
        <w:rPr>
          <w:lang w:val="fr-CA"/>
        </w:rPr>
        <w:t xml:space="preserve"> </w:t>
      </w:r>
      <w:r w:rsidR="00443986" w:rsidRPr="0059083D">
        <w:rPr>
          <w:lang w:val="fr-CA"/>
        </w:rPr>
        <w:t xml:space="preserve">et au </w:t>
      </w:r>
      <w:r w:rsidRPr="0059083D">
        <w:rPr>
          <w:lang w:val="fr-CA"/>
        </w:rPr>
        <w:t xml:space="preserve">Canada. </w:t>
      </w:r>
      <w:r w:rsidR="00443986" w:rsidRPr="0059083D">
        <w:rPr>
          <w:lang w:val="fr-CA"/>
        </w:rPr>
        <w:t xml:space="preserve">Si le PAPE est réalisé uniquement au </w:t>
      </w:r>
      <w:r w:rsidRPr="0059083D">
        <w:rPr>
          <w:lang w:val="fr-CA"/>
        </w:rPr>
        <w:t xml:space="preserve">Canada, la Société </w:t>
      </w:r>
      <w:r w:rsidR="00443986" w:rsidRPr="0059083D">
        <w:rPr>
          <w:lang w:val="fr-CA"/>
        </w:rPr>
        <w:t>peut décider des provinces et des territoires dans lesquels elle devien</w:t>
      </w:r>
      <w:r w:rsidR="003754E4">
        <w:rPr>
          <w:lang w:val="fr-CA"/>
        </w:rPr>
        <w:t>dra</w:t>
      </w:r>
      <w:r w:rsidR="00443986" w:rsidRPr="0059083D">
        <w:rPr>
          <w:lang w:val="fr-CA"/>
        </w:rPr>
        <w:t xml:space="preserve"> un émetteur assujetti.</w:t>
      </w:r>
      <w:r w:rsidRPr="0059083D">
        <w:rPr>
          <w:lang w:val="fr-CA"/>
        </w:rPr>
        <w:t xml:space="preserve"> </w:t>
      </w:r>
      <w:r w:rsidR="00443986" w:rsidRPr="0059083D">
        <w:rPr>
          <w:lang w:val="fr-CA"/>
        </w:rPr>
        <w:t xml:space="preserve">Sauf </w:t>
      </w:r>
      <w:r w:rsidR="0006151F" w:rsidRPr="0059083D">
        <w:rPr>
          <w:lang w:val="fr-CA"/>
        </w:rPr>
        <w:t xml:space="preserve">conformément aux </w:t>
      </w:r>
      <w:r w:rsidR="00443986" w:rsidRPr="0059083D">
        <w:rPr>
          <w:u w:val="single"/>
          <w:lang w:val="fr-CA"/>
        </w:rPr>
        <w:t>paragraphes </w:t>
      </w:r>
      <w:r w:rsidRPr="00986BEB">
        <w:rPr>
          <w:u w:val="single"/>
          <w:lang w:val="fr-CA"/>
        </w:rPr>
        <w:fldChar w:fldCharType="begin"/>
      </w:r>
      <w:r w:rsidRPr="00986BEB">
        <w:rPr>
          <w:u w:val="single"/>
          <w:lang w:val="fr-CA"/>
        </w:rPr>
        <w:instrText xml:space="preserve">  REF _Ref448380598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2.14</w:t>
      </w:r>
      <w:r w:rsidRPr="00986BEB">
        <w:rPr>
          <w:u w:val="single"/>
          <w:lang w:val="fr-CA"/>
        </w:rPr>
        <w:fldChar w:fldCharType="end"/>
      </w:r>
      <w:r w:rsidRPr="0059083D">
        <w:rPr>
          <w:lang w:val="fr-CA"/>
        </w:rPr>
        <w:t xml:space="preserve"> </w:t>
      </w:r>
      <w:r w:rsidR="00443986" w:rsidRPr="0059083D">
        <w:rPr>
          <w:lang w:val="fr-CA"/>
        </w:rPr>
        <w:t>ou</w:t>
      </w:r>
      <w:r w:rsidRPr="0059083D">
        <w:rPr>
          <w:lang w:val="fr-CA"/>
        </w:rPr>
        <w:t xml:space="preserve"> </w:t>
      </w:r>
      <w:r w:rsidRPr="00986BEB">
        <w:rPr>
          <w:u w:val="single"/>
          <w:lang w:val="fr-CA"/>
        </w:rPr>
        <w:fldChar w:fldCharType="begin"/>
      </w:r>
      <w:r w:rsidRPr="00986BEB">
        <w:rPr>
          <w:u w:val="single"/>
          <w:lang w:val="fr-CA"/>
        </w:rPr>
        <w:instrText xml:space="preserve">  REF _Ref448380606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2.15</w:t>
      </w:r>
      <w:r w:rsidRPr="00986BEB">
        <w:rPr>
          <w:u w:val="single"/>
          <w:lang w:val="fr-CA"/>
        </w:rPr>
        <w:fldChar w:fldCharType="end"/>
      </w:r>
      <w:r w:rsidRPr="0059083D">
        <w:rPr>
          <w:lang w:val="fr-CA"/>
        </w:rPr>
        <w:t xml:space="preserve">, </w:t>
      </w:r>
      <w:r w:rsidR="00443986" w:rsidRPr="0059083D">
        <w:rPr>
          <w:lang w:val="fr-CA"/>
        </w:rPr>
        <w:t xml:space="preserve">si le PAPE est réalisé </w:t>
      </w:r>
      <w:r w:rsidR="0006151F" w:rsidRPr="0059083D">
        <w:rPr>
          <w:lang w:val="fr-CA"/>
        </w:rPr>
        <w:t xml:space="preserve">uniquement aux </w:t>
      </w:r>
      <w:r w:rsidR="00BC38D2" w:rsidRPr="0059083D">
        <w:rPr>
          <w:lang w:val="fr-CA"/>
        </w:rPr>
        <w:t>États-Unis</w:t>
      </w:r>
      <w:r w:rsidRPr="0059083D">
        <w:rPr>
          <w:lang w:val="fr-CA"/>
        </w:rPr>
        <w:t xml:space="preserve">, la Société </w:t>
      </w:r>
      <w:r w:rsidR="0006151F" w:rsidRPr="0059083D">
        <w:rPr>
          <w:lang w:val="fr-CA"/>
        </w:rPr>
        <w:t xml:space="preserve">n’est pas tenue de déposer une </w:t>
      </w:r>
      <w:r w:rsidR="002A0F83" w:rsidRPr="0059083D">
        <w:rPr>
          <w:lang w:val="fr-CA"/>
        </w:rPr>
        <w:t>déclaration d’inscription</w:t>
      </w:r>
      <w:r w:rsidRPr="0059083D">
        <w:rPr>
          <w:lang w:val="fr-CA"/>
        </w:rPr>
        <w:t xml:space="preserve"> </w:t>
      </w:r>
      <w:r w:rsidR="0006151F" w:rsidRPr="0059083D">
        <w:rPr>
          <w:lang w:val="fr-CA"/>
        </w:rPr>
        <w:t xml:space="preserve">au </w:t>
      </w:r>
      <w:r w:rsidRPr="0059083D">
        <w:rPr>
          <w:lang w:val="fr-CA"/>
        </w:rPr>
        <w:t xml:space="preserve">Canada </w:t>
      </w:r>
      <w:r w:rsidR="0006151F" w:rsidRPr="0059083D">
        <w:rPr>
          <w:lang w:val="fr-CA"/>
        </w:rPr>
        <w:t xml:space="preserve">à l’égard d’une inscription sur demande conformément aux </w:t>
      </w:r>
      <w:r w:rsidR="0006151F" w:rsidRPr="0059083D">
        <w:rPr>
          <w:u w:val="single"/>
          <w:lang w:val="fr-CA"/>
        </w:rPr>
        <w:t>alinéas </w:t>
      </w:r>
      <w:r w:rsidRPr="00986BEB">
        <w:rPr>
          <w:u w:val="single"/>
          <w:lang w:val="fr-CA"/>
        </w:rPr>
        <w:fldChar w:fldCharType="begin"/>
      </w:r>
      <w:r w:rsidRPr="00986BEB">
        <w:rPr>
          <w:u w:val="single"/>
          <w:lang w:val="fr-CA"/>
        </w:rPr>
        <w:instrText xml:space="preserve">  REF _Ref448380549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2.1a)</w:t>
      </w:r>
      <w:r w:rsidRPr="00986BEB">
        <w:rPr>
          <w:u w:val="single"/>
          <w:lang w:val="fr-CA"/>
        </w:rPr>
        <w:fldChar w:fldCharType="end"/>
      </w:r>
      <w:r w:rsidRPr="0059083D">
        <w:rPr>
          <w:lang w:val="fr-CA"/>
        </w:rPr>
        <w:t xml:space="preserve"> </w:t>
      </w:r>
      <w:r w:rsidR="0006151F" w:rsidRPr="0059083D">
        <w:rPr>
          <w:lang w:val="fr-CA"/>
        </w:rPr>
        <w:t>ou</w:t>
      </w:r>
      <w:r w:rsidRPr="0059083D">
        <w:rPr>
          <w:lang w:val="fr-CA"/>
        </w:rPr>
        <w:t xml:space="preserve"> </w:t>
      </w:r>
      <w:r w:rsidRPr="00986BEB">
        <w:rPr>
          <w:u w:val="single"/>
          <w:lang w:val="fr-CA"/>
        </w:rPr>
        <w:fldChar w:fldCharType="begin"/>
      </w:r>
      <w:r w:rsidRPr="00986BEB">
        <w:rPr>
          <w:u w:val="single"/>
          <w:lang w:val="fr-CA"/>
        </w:rPr>
        <w:instrText xml:space="preserve">  REF _Ref448380550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2.1b)</w:t>
      </w:r>
      <w:r w:rsidRPr="00986BEB">
        <w:rPr>
          <w:u w:val="single"/>
          <w:lang w:val="fr-CA"/>
        </w:rPr>
        <w:fldChar w:fldCharType="end"/>
      </w:r>
      <w:r w:rsidRPr="0059083D">
        <w:rPr>
          <w:lang w:val="fr-CA"/>
        </w:rPr>
        <w:t xml:space="preserve">, </w:t>
      </w:r>
      <w:r w:rsidR="0006151F" w:rsidRPr="0059083D">
        <w:rPr>
          <w:lang w:val="fr-CA"/>
        </w:rPr>
        <w:t xml:space="preserve">et si le PAPE est réalisé uniquement au </w:t>
      </w:r>
      <w:r w:rsidRPr="0059083D">
        <w:rPr>
          <w:lang w:val="fr-CA"/>
        </w:rPr>
        <w:t xml:space="preserve">Canada, la Société </w:t>
      </w:r>
      <w:r w:rsidR="0006151F" w:rsidRPr="0059083D">
        <w:rPr>
          <w:lang w:val="fr-CA"/>
        </w:rPr>
        <w:t xml:space="preserve">n’est pas tenue de déposer une </w:t>
      </w:r>
      <w:r w:rsidR="002A0F83" w:rsidRPr="0059083D">
        <w:rPr>
          <w:lang w:val="fr-CA"/>
        </w:rPr>
        <w:t>déclaration d’inscription</w:t>
      </w:r>
      <w:r w:rsidRPr="0059083D">
        <w:rPr>
          <w:lang w:val="fr-CA"/>
        </w:rPr>
        <w:t xml:space="preserve"> </w:t>
      </w:r>
      <w:r w:rsidR="0006151F" w:rsidRPr="0059083D">
        <w:rPr>
          <w:lang w:val="fr-CA"/>
        </w:rPr>
        <w:t xml:space="preserve">aux </w:t>
      </w:r>
      <w:r w:rsidR="00BC38D2" w:rsidRPr="0059083D">
        <w:rPr>
          <w:lang w:val="fr-CA"/>
        </w:rPr>
        <w:t>États-Unis</w:t>
      </w:r>
      <w:r w:rsidRPr="0059083D">
        <w:rPr>
          <w:lang w:val="fr-CA"/>
        </w:rPr>
        <w:t xml:space="preserve">, </w:t>
      </w:r>
      <w:r w:rsidR="0006151F" w:rsidRPr="0059083D">
        <w:rPr>
          <w:lang w:val="fr-CA"/>
        </w:rPr>
        <w:t>ni dans une province ou un territoire où le PAPE n’est pas réalisé</w:t>
      </w:r>
      <w:r w:rsidRPr="0059083D">
        <w:rPr>
          <w:lang w:val="fr-CA"/>
        </w:rPr>
        <w:t xml:space="preserve">, </w:t>
      </w:r>
      <w:r w:rsidR="0006151F" w:rsidRPr="0059083D">
        <w:rPr>
          <w:lang w:val="fr-CA"/>
        </w:rPr>
        <w:t xml:space="preserve">à l’égard d’une inscription sur demande conformément aux </w:t>
      </w:r>
      <w:r w:rsidR="0006151F" w:rsidRPr="0059083D">
        <w:rPr>
          <w:u w:val="single"/>
          <w:lang w:val="fr-CA"/>
        </w:rPr>
        <w:t>alinéas </w:t>
      </w:r>
      <w:r w:rsidRPr="00986BEB">
        <w:rPr>
          <w:u w:val="single"/>
          <w:lang w:val="fr-CA"/>
        </w:rPr>
        <w:fldChar w:fldCharType="begin"/>
      </w:r>
      <w:r w:rsidRPr="00986BEB">
        <w:rPr>
          <w:u w:val="single"/>
          <w:lang w:val="fr-CA"/>
        </w:rPr>
        <w:instrText xml:space="preserve">  REF _Ref448380549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2.1a)</w:t>
      </w:r>
      <w:r w:rsidRPr="00986BEB">
        <w:rPr>
          <w:u w:val="single"/>
          <w:lang w:val="fr-CA"/>
        </w:rPr>
        <w:fldChar w:fldCharType="end"/>
      </w:r>
      <w:r w:rsidRPr="0059083D">
        <w:rPr>
          <w:lang w:val="fr-CA"/>
        </w:rPr>
        <w:t xml:space="preserve"> </w:t>
      </w:r>
      <w:r w:rsidR="0006151F" w:rsidRPr="0059083D">
        <w:rPr>
          <w:lang w:val="fr-CA"/>
        </w:rPr>
        <w:t>ou</w:t>
      </w:r>
      <w:r w:rsidRPr="0059083D">
        <w:rPr>
          <w:lang w:val="fr-CA"/>
        </w:rPr>
        <w:t xml:space="preserve"> </w:t>
      </w:r>
      <w:r w:rsidRPr="00986BEB">
        <w:rPr>
          <w:u w:val="single"/>
          <w:lang w:val="fr-CA"/>
        </w:rPr>
        <w:fldChar w:fldCharType="begin"/>
      </w:r>
      <w:r w:rsidRPr="00986BEB">
        <w:rPr>
          <w:u w:val="single"/>
          <w:lang w:val="fr-CA"/>
        </w:rPr>
        <w:instrText xml:space="preserve">  REF _Ref448380550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2.1b)</w:t>
      </w:r>
      <w:r w:rsidRPr="00986BEB">
        <w:rPr>
          <w:u w:val="single"/>
          <w:lang w:val="fr-CA"/>
        </w:rPr>
        <w:fldChar w:fldCharType="end"/>
      </w:r>
      <w:r w:rsidRPr="0059083D">
        <w:rPr>
          <w:lang w:val="fr-CA"/>
        </w:rPr>
        <w:t>.</w:t>
      </w:r>
    </w:p>
    <w:p w14:paraId="3C799966" w14:textId="13184CE8" w:rsidR="00037C7E" w:rsidRPr="00986BEB" w:rsidRDefault="0059083D">
      <w:pPr>
        <w:pStyle w:val="StandardL1"/>
        <w:keepNext/>
        <w:rPr>
          <w:lang w:val="fr-CA"/>
        </w:rPr>
      </w:pPr>
      <w:bookmarkStart w:id="242" w:name="_Ref448380613"/>
      <w:bookmarkStart w:id="243" w:name="_Toc132874733"/>
      <w:r w:rsidRPr="009D4254">
        <w:rPr>
          <w:lang w:val="fr-CA"/>
        </w:rPr>
        <w:t>Droits à l’i</w:t>
      </w:r>
      <w:r w:rsidR="000B08F2" w:rsidRPr="009D4254">
        <w:rPr>
          <w:lang w:val="fr-CA"/>
        </w:rPr>
        <w:t xml:space="preserve">nformation </w:t>
      </w:r>
      <w:r w:rsidR="0006151F" w:rsidRPr="009D4254">
        <w:rPr>
          <w:lang w:val="fr-CA"/>
        </w:rPr>
        <w:t>et droits d</w:t>
      </w:r>
      <w:r w:rsidRPr="009D4254">
        <w:rPr>
          <w:lang w:val="fr-CA"/>
        </w:rPr>
        <w:t>’</w:t>
      </w:r>
      <w:r w:rsidR="0006151F" w:rsidRPr="009D4254">
        <w:rPr>
          <w:lang w:val="fr-CA"/>
        </w:rPr>
        <w:t>observateur</w:t>
      </w:r>
      <w:r w:rsidR="000B08F2" w:rsidRPr="009D4254">
        <w:rPr>
          <w:snapToGrid w:val="0"/>
          <w:lang w:val="fr-CA"/>
        </w:rPr>
        <w:t>.</w:t>
      </w:r>
      <w:bookmarkEnd w:id="242"/>
      <w:bookmarkEnd w:id="243"/>
    </w:p>
    <w:p w14:paraId="1FFEBA5E" w14:textId="26A082A9" w:rsidR="00037C7E" w:rsidRPr="00986BEB" w:rsidRDefault="0006151F">
      <w:pPr>
        <w:pStyle w:val="StandardL2"/>
        <w:rPr>
          <w:lang w:val="fr-CA"/>
        </w:rPr>
      </w:pPr>
      <w:bookmarkStart w:id="244" w:name="_Ref118363317"/>
      <w:bookmarkStart w:id="245" w:name="_Ref119587812"/>
      <w:bookmarkStart w:id="246" w:name="_Toc132874734"/>
      <w:r w:rsidRPr="009D4254">
        <w:rPr>
          <w:lang w:val="fr-CA"/>
        </w:rPr>
        <w:t>Présentation des états financiers</w:t>
      </w:r>
      <w:bookmarkEnd w:id="244"/>
      <w:r w:rsidR="00127BD6">
        <w:rPr>
          <w:lang w:val="fr-CA"/>
        </w:rPr>
        <w:t>.</w:t>
      </w:r>
      <w:bookmarkEnd w:id="245"/>
      <w:bookmarkEnd w:id="246"/>
    </w:p>
    <w:p w14:paraId="0A407999" w14:textId="478AE37F" w:rsidR="00037C7E" w:rsidRPr="0059083D" w:rsidRDefault="000B08F2">
      <w:pPr>
        <w:pStyle w:val="StandardCont2"/>
        <w:rPr>
          <w:lang w:val="fr-CA"/>
        </w:rPr>
      </w:pPr>
      <w:r w:rsidRPr="009D4254">
        <w:rPr>
          <w:snapToGrid w:val="0"/>
          <w:lang w:val="fr-CA"/>
        </w:rPr>
        <w:t xml:space="preserve">La Société </w:t>
      </w:r>
      <w:r w:rsidR="00D22551" w:rsidRPr="009D4254">
        <w:rPr>
          <w:snapToGrid w:val="0"/>
          <w:lang w:val="fr-CA"/>
        </w:rPr>
        <w:t>fournit</w:t>
      </w:r>
      <w:r w:rsidR="0006151F" w:rsidRPr="009D4254">
        <w:rPr>
          <w:snapToGrid w:val="0"/>
          <w:lang w:val="fr-CA"/>
        </w:rPr>
        <w:t xml:space="preserve"> à chaque </w:t>
      </w:r>
      <w:r w:rsidR="006C7CDF" w:rsidRPr="009D4254">
        <w:rPr>
          <w:snapToGrid w:val="0"/>
          <w:lang w:val="fr-CA"/>
        </w:rPr>
        <w:t>Investisseur important</w:t>
      </w:r>
      <w:bookmarkStart w:id="247" w:name="_Ref448380707"/>
      <w:r w:rsidRPr="00986BEB">
        <w:rPr>
          <w:rStyle w:val="FootnoteReference"/>
          <w:snapToGrid w:val="0"/>
          <w:lang w:val="fr-CA"/>
        </w:rPr>
        <w:footnoteReference w:id="38"/>
      </w:r>
      <w:bookmarkEnd w:id="247"/>
      <w:r w:rsidRPr="009D4254">
        <w:rPr>
          <w:snapToGrid w:val="0"/>
          <w:lang w:val="fr-CA"/>
        </w:rPr>
        <w:t xml:space="preserve">[, </w:t>
      </w:r>
      <w:r w:rsidR="0006151F" w:rsidRPr="009D4254">
        <w:rPr>
          <w:snapToGrid w:val="0"/>
          <w:lang w:val="fr-CA"/>
        </w:rPr>
        <w:t xml:space="preserve">dans la mesure où </w:t>
      </w:r>
      <w:r w:rsidRPr="009D4254">
        <w:rPr>
          <w:snapToGrid w:val="0"/>
          <w:lang w:val="fr-CA"/>
        </w:rPr>
        <w:t xml:space="preserve">le Conseil d’administration </w:t>
      </w:r>
      <w:r w:rsidR="0006151F" w:rsidRPr="009D4254">
        <w:rPr>
          <w:snapToGrid w:val="0"/>
          <w:lang w:val="fr-CA"/>
        </w:rPr>
        <w:t xml:space="preserve">n’a pas </w:t>
      </w:r>
      <w:r w:rsidR="007C4E71" w:rsidRPr="009D4254">
        <w:rPr>
          <w:snapToGrid w:val="0"/>
          <w:lang w:val="fr-CA"/>
        </w:rPr>
        <w:t>raisonnablement</w:t>
      </w:r>
      <w:r w:rsidRPr="009D4254">
        <w:rPr>
          <w:snapToGrid w:val="0"/>
          <w:lang w:val="fr-CA"/>
        </w:rPr>
        <w:t xml:space="preserve"> </w:t>
      </w:r>
      <w:r w:rsidR="0006151F" w:rsidRPr="009D4254">
        <w:rPr>
          <w:snapToGrid w:val="0"/>
          <w:lang w:val="fr-CA"/>
        </w:rPr>
        <w:t xml:space="preserve">déterminé que cet </w:t>
      </w:r>
      <w:r w:rsidR="006C7CDF" w:rsidRPr="009D4254">
        <w:rPr>
          <w:snapToGrid w:val="0"/>
          <w:lang w:val="fr-CA"/>
        </w:rPr>
        <w:t>Investisseur important</w:t>
      </w:r>
      <w:r w:rsidRPr="009D4254">
        <w:rPr>
          <w:snapToGrid w:val="0"/>
          <w:lang w:val="fr-CA"/>
        </w:rPr>
        <w:t xml:space="preserve"> </w:t>
      </w:r>
      <w:r w:rsidR="0006151F" w:rsidRPr="009D4254">
        <w:rPr>
          <w:snapToGrid w:val="0"/>
          <w:lang w:val="fr-CA"/>
        </w:rPr>
        <w:t xml:space="preserve">est un concurrent de </w:t>
      </w:r>
      <w:r w:rsidRPr="009D4254">
        <w:rPr>
          <w:snapToGrid w:val="0"/>
          <w:lang w:val="fr-CA"/>
        </w:rPr>
        <w:t>la Société</w:t>
      </w:r>
      <w:bookmarkStart w:id="248" w:name="_Ref448380708"/>
      <w:r w:rsidRPr="00986BEB">
        <w:rPr>
          <w:rStyle w:val="FootnoteReference"/>
          <w:snapToGrid w:val="0"/>
          <w:lang w:val="fr-CA"/>
        </w:rPr>
        <w:footnoteReference w:id="39"/>
      </w:r>
      <w:bookmarkEnd w:id="248"/>
      <w:r w:rsidRPr="009D4254">
        <w:rPr>
          <w:snapToGrid w:val="0"/>
          <w:lang w:val="fr-CA"/>
        </w:rPr>
        <w:t>]</w:t>
      </w:r>
      <w:r w:rsidR="002652BA">
        <w:rPr>
          <w:snapToGrid w:val="0"/>
          <w:lang w:val="fr-CA"/>
        </w:rPr>
        <w:t> </w:t>
      </w:r>
      <w:r w:rsidRPr="009D4254">
        <w:rPr>
          <w:snapToGrid w:val="0"/>
          <w:lang w:val="fr-CA"/>
        </w:rPr>
        <w:t>:</w:t>
      </w:r>
      <w:r w:rsidR="00911BAF">
        <w:rPr>
          <w:snapToGrid w:val="0"/>
          <w:lang w:val="fr-CA"/>
        </w:rPr>
        <w:t xml:space="preserve"> </w:t>
      </w:r>
    </w:p>
    <w:p w14:paraId="6685A711" w14:textId="549443E9" w:rsidR="00037C7E" w:rsidRPr="00986BEB" w:rsidRDefault="0006151F">
      <w:pPr>
        <w:pStyle w:val="StandardL3"/>
        <w:rPr>
          <w:lang w:val="fr-CA"/>
        </w:rPr>
      </w:pPr>
      <w:bookmarkStart w:id="249" w:name="_Ref448380615"/>
      <w:r w:rsidRPr="0059083D">
        <w:rPr>
          <w:lang w:val="fr-CA"/>
        </w:rPr>
        <w:t xml:space="preserve">dès que possible, mais </w:t>
      </w:r>
      <w:r w:rsidR="004A0089">
        <w:rPr>
          <w:lang w:val="fr-CA"/>
        </w:rPr>
        <w:t>quoi qu’il en soit</w:t>
      </w:r>
      <w:r w:rsidRPr="0059083D">
        <w:rPr>
          <w:lang w:val="fr-CA"/>
        </w:rPr>
        <w:t xml:space="preserve"> dans les </w:t>
      </w:r>
      <w:r w:rsidR="000B08F2" w:rsidRPr="0059083D">
        <w:rPr>
          <w:lang w:val="fr-CA"/>
        </w:rPr>
        <w:t>[</w:t>
      </w:r>
      <w:r w:rsidRPr="0059083D">
        <w:rPr>
          <w:lang w:val="fr-CA"/>
        </w:rPr>
        <w:t xml:space="preserve">quatre-vingt-dix </w:t>
      </w:r>
      <w:r w:rsidR="006F3997">
        <w:rPr>
          <w:lang w:val="fr-CA"/>
        </w:rPr>
        <w:t>-</w:t>
      </w:r>
      <w:r w:rsidR="000B08F2" w:rsidRPr="0059083D">
        <w:rPr>
          <w:lang w:val="fr-CA"/>
        </w:rPr>
        <w:t xml:space="preserve"> </w:t>
      </w:r>
      <w:r w:rsidRPr="0059083D">
        <w:rPr>
          <w:lang w:val="fr-CA"/>
        </w:rPr>
        <w:t xml:space="preserve">cent vingt </w:t>
      </w:r>
      <w:r w:rsidR="000B08F2" w:rsidRPr="0059083D">
        <w:rPr>
          <w:lang w:val="fr-CA"/>
        </w:rPr>
        <w:t>(</w:t>
      </w:r>
      <w:r w:rsidR="000B08F2" w:rsidRPr="00986BEB">
        <w:rPr>
          <w:lang w:val="fr-CA"/>
        </w:rPr>
        <w:t>90</w:t>
      </w:r>
      <w:r w:rsidR="002652BA">
        <w:rPr>
          <w:lang w:val="fr-CA"/>
        </w:rPr>
        <w:t> </w:t>
      </w:r>
      <w:r w:rsidR="006F3997">
        <w:rPr>
          <w:lang w:val="fr-CA"/>
        </w:rPr>
        <w:t>-</w:t>
      </w:r>
      <w:r w:rsidRPr="0059083D">
        <w:rPr>
          <w:lang w:val="fr-CA"/>
        </w:rPr>
        <w:t xml:space="preserve"> </w:t>
      </w:r>
      <w:r w:rsidR="000B08F2" w:rsidRPr="00986BEB">
        <w:rPr>
          <w:lang w:val="fr-CA"/>
        </w:rPr>
        <w:t>120</w:t>
      </w:r>
      <w:r w:rsidR="000B08F2" w:rsidRPr="0059083D">
        <w:rPr>
          <w:lang w:val="fr-CA"/>
        </w:rPr>
        <w:t>)]</w:t>
      </w:r>
      <w:r w:rsidRPr="0059083D">
        <w:rPr>
          <w:lang w:val="fr-CA"/>
        </w:rPr>
        <w:t xml:space="preserve"> jours suivant la fin de chaque exercice </w:t>
      </w:r>
      <w:r w:rsidR="000B08F2" w:rsidRPr="0059083D">
        <w:rPr>
          <w:lang w:val="fr-CA"/>
        </w:rPr>
        <w:t xml:space="preserve">de la Société </w:t>
      </w:r>
      <w:bookmarkStart w:id="250" w:name="DocXTextRef198"/>
      <w:r w:rsidR="000B08F2" w:rsidRPr="0059083D">
        <w:rPr>
          <w:lang w:val="fr-CA"/>
        </w:rPr>
        <w:t>(</w:t>
      </w:r>
      <w:r w:rsidR="000B08F2" w:rsidRPr="00986BEB">
        <w:rPr>
          <w:lang w:val="fr-CA"/>
        </w:rPr>
        <w:t>i</w:t>
      </w:r>
      <w:r w:rsidR="000B08F2" w:rsidRPr="0059083D">
        <w:rPr>
          <w:lang w:val="fr-CA"/>
        </w:rPr>
        <w:t>)</w:t>
      </w:r>
      <w:bookmarkEnd w:id="250"/>
      <w:r w:rsidRPr="0059083D">
        <w:rPr>
          <w:lang w:val="fr-CA"/>
        </w:rPr>
        <w:t> un bilan en date de la fin de cet exercice</w:t>
      </w:r>
      <w:r w:rsidR="000B08F2" w:rsidRPr="0059083D">
        <w:rPr>
          <w:lang w:val="fr-CA"/>
        </w:rPr>
        <w:t>, (</w:t>
      </w:r>
      <w:r w:rsidR="000B08F2" w:rsidRPr="00986BEB">
        <w:rPr>
          <w:lang w:val="fr-CA"/>
        </w:rPr>
        <w:t>ii</w:t>
      </w:r>
      <w:r w:rsidR="000B08F2" w:rsidRPr="0059083D">
        <w:rPr>
          <w:lang w:val="fr-CA"/>
        </w:rPr>
        <w:t>)</w:t>
      </w:r>
      <w:r w:rsidRPr="0059083D">
        <w:rPr>
          <w:lang w:val="fr-CA"/>
        </w:rPr>
        <w:t> des états des résultats et des flux de trésorerie pour cet exercice</w:t>
      </w:r>
      <w:r w:rsidR="00651492">
        <w:rPr>
          <w:lang w:val="fr-CA"/>
        </w:rPr>
        <w:t xml:space="preserve"> </w:t>
      </w:r>
      <w:r w:rsidR="000B08F2" w:rsidRPr="0059083D">
        <w:rPr>
          <w:lang w:val="fr-CA"/>
        </w:rPr>
        <w:t>[</w:t>
      </w:r>
      <w:r w:rsidRPr="0059083D">
        <w:rPr>
          <w:lang w:val="fr-CA"/>
        </w:rPr>
        <w:t xml:space="preserve">et une comparaison entre </w:t>
      </w:r>
      <w:bookmarkStart w:id="251" w:name="DocXTextRef199"/>
      <w:r w:rsidR="000B08F2" w:rsidRPr="0059083D">
        <w:rPr>
          <w:lang w:val="fr-CA"/>
        </w:rPr>
        <w:t>(</w:t>
      </w:r>
      <w:r w:rsidR="000B08F2" w:rsidRPr="00986BEB">
        <w:rPr>
          <w:lang w:val="fr-CA"/>
        </w:rPr>
        <w:t>x</w:t>
      </w:r>
      <w:r w:rsidR="000B08F2" w:rsidRPr="0059083D">
        <w:rPr>
          <w:lang w:val="fr-CA"/>
        </w:rPr>
        <w:t>)</w:t>
      </w:r>
      <w:bookmarkEnd w:id="251"/>
      <w:r w:rsidRPr="0059083D">
        <w:rPr>
          <w:lang w:val="fr-CA"/>
        </w:rPr>
        <w:t xml:space="preserve"> les montants réels </w:t>
      </w:r>
      <w:r w:rsidR="006F3997">
        <w:rPr>
          <w:lang w:val="fr-CA"/>
        </w:rPr>
        <w:t>en date de</w:t>
      </w:r>
      <w:r w:rsidRPr="0059083D">
        <w:rPr>
          <w:lang w:val="fr-CA"/>
        </w:rPr>
        <w:t xml:space="preserve"> cet exercice</w:t>
      </w:r>
      <w:r w:rsidR="006F3997">
        <w:rPr>
          <w:lang w:val="fr-CA"/>
        </w:rPr>
        <w:t xml:space="preserve"> et pour cet exercice</w:t>
      </w:r>
      <w:r w:rsidRPr="0059083D">
        <w:rPr>
          <w:lang w:val="fr-CA"/>
        </w:rPr>
        <w:t xml:space="preserve"> et </w:t>
      </w:r>
      <w:bookmarkStart w:id="252" w:name="DocXTextRef200"/>
      <w:r w:rsidR="000B08F2" w:rsidRPr="0059083D">
        <w:rPr>
          <w:lang w:val="fr-CA"/>
        </w:rPr>
        <w:t>(</w:t>
      </w:r>
      <w:r w:rsidR="000B08F2" w:rsidRPr="00986BEB">
        <w:rPr>
          <w:lang w:val="fr-CA"/>
        </w:rPr>
        <w:t>y</w:t>
      </w:r>
      <w:r w:rsidR="000B08F2" w:rsidRPr="0059083D">
        <w:rPr>
          <w:lang w:val="fr-CA"/>
        </w:rPr>
        <w:t>)</w:t>
      </w:r>
      <w:bookmarkEnd w:id="252"/>
      <w:r w:rsidRPr="0059083D">
        <w:rPr>
          <w:lang w:val="fr-CA"/>
        </w:rPr>
        <w:t xml:space="preserve"> les montants comparables pour l’exercice </w:t>
      </w:r>
      <w:r w:rsidR="00651492">
        <w:rPr>
          <w:lang w:val="fr-CA"/>
        </w:rPr>
        <w:t>précédent</w:t>
      </w:r>
      <w:r w:rsidRPr="0059083D">
        <w:rPr>
          <w:lang w:val="fr-CA"/>
        </w:rPr>
        <w:t xml:space="preserve"> et ceux prévus au </w:t>
      </w:r>
      <w:r w:rsidR="000B08F2" w:rsidRPr="0059083D">
        <w:rPr>
          <w:lang w:val="fr-CA"/>
        </w:rPr>
        <w:t>Budget (</w:t>
      </w:r>
      <w:r w:rsidR="008374D8">
        <w:rPr>
          <w:lang w:val="fr-CA"/>
        </w:rPr>
        <w:t>au sens donné à ce terme</w:t>
      </w:r>
      <w:r w:rsidRPr="0059083D">
        <w:rPr>
          <w:lang w:val="fr-CA"/>
        </w:rPr>
        <w:t xml:space="preserve"> à l’</w:t>
      </w:r>
      <w:r w:rsidR="0006561D" w:rsidRPr="0059083D">
        <w:rPr>
          <w:u w:val="single"/>
          <w:lang w:val="fr-CA"/>
        </w:rPr>
        <w:t>alinéa </w:t>
      </w:r>
      <w:r w:rsidR="000B08F2" w:rsidRPr="00986BEB">
        <w:rPr>
          <w:u w:val="single"/>
          <w:lang w:val="fr-CA"/>
        </w:rPr>
        <w:fldChar w:fldCharType="begin"/>
      </w:r>
      <w:r w:rsidR="000B08F2" w:rsidRPr="00986BEB">
        <w:rPr>
          <w:u w:val="single"/>
          <w:lang w:val="fr-CA"/>
        </w:rPr>
        <w:instrText xml:space="preserve">  REF _Ref448380619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3.1e)</w:t>
      </w:r>
      <w:r w:rsidR="000B08F2" w:rsidRPr="00986BEB">
        <w:rPr>
          <w:u w:val="single"/>
          <w:lang w:val="fr-CA"/>
        </w:rPr>
        <w:fldChar w:fldCharType="end"/>
      </w:r>
      <w:r w:rsidR="000B08F2" w:rsidRPr="0059083D">
        <w:rPr>
          <w:lang w:val="fr-CA"/>
        </w:rPr>
        <w:t xml:space="preserve">) </w:t>
      </w:r>
      <w:r w:rsidRPr="0059083D">
        <w:rPr>
          <w:lang w:val="fr-CA"/>
        </w:rPr>
        <w:t>pour cet exercice</w:t>
      </w:r>
      <w:r w:rsidR="000B08F2" w:rsidRPr="0059083D">
        <w:rPr>
          <w:lang w:val="fr-CA"/>
        </w:rPr>
        <w:t xml:space="preserve">, </w:t>
      </w:r>
      <w:r w:rsidRPr="0059083D">
        <w:rPr>
          <w:lang w:val="fr-CA"/>
        </w:rPr>
        <w:t>accompagné</w:t>
      </w:r>
      <w:r w:rsidR="006F3997">
        <w:rPr>
          <w:lang w:val="fr-CA"/>
        </w:rPr>
        <w:t>s</w:t>
      </w:r>
      <w:r w:rsidRPr="0059083D">
        <w:rPr>
          <w:lang w:val="fr-CA"/>
        </w:rPr>
        <w:t xml:space="preserve"> d’une explication des écarts importants entre ces montants et d’un tableau de la provenance et de </w:t>
      </w:r>
      <w:r w:rsidR="00651492">
        <w:rPr>
          <w:lang w:val="fr-CA"/>
        </w:rPr>
        <w:t>l’affectation</w:t>
      </w:r>
      <w:r w:rsidRPr="0059083D">
        <w:rPr>
          <w:lang w:val="fr-CA"/>
        </w:rPr>
        <w:t xml:space="preserve"> des fonds pour cet exercice</w:t>
      </w:r>
      <w:r w:rsidR="000B08F2" w:rsidRPr="0059083D">
        <w:rPr>
          <w:lang w:val="fr-CA"/>
        </w:rPr>
        <w:t xml:space="preserve">], </w:t>
      </w:r>
      <w:r w:rsidRPr="0059083D">
        <w:rPr>
          <w:lang w:val="fr-CA"/>
        </w:rPr>
        <w:t xml:space="preserve">et </w:t>
      </w:r>
      <w:bookmarkStart w:id="253" w:name="DocXTextRef201"/>
      <w:r w:rsidR="000B08F2" w:rsidRPr="0059083D">
        <w:rPr>
          <w:lang w:val="fr-CA"/>
        </w:rPr>
        <w:t>(</w:t>
      </w:r>
      <w:r w:rsidR="000B08F2" w:rsidRPr="00986BEB">
        <w:rPr>
          <w:lang w:val="fr-CA"/>
        </w:rPr>
        <w:t>iii</w:t>
      </w:r>
      <w:r w:rsidR="000B08F2" w:rsidRPr="0059083D">
        <w:rPr>
          <w:lang w:val="fr-CA"/>
        </w:rPr>
        <w:t>)</w:t>
      </w:r>
      <w:bookmarkEnd w:id="253"/>
      <w:r w:rsidRPr="0059083D">
        <w:rPr>
          <w:lang w:val="fr-CA"/>
        </w:rPr>
        <w:t> un état des capitaux propres en date de la fin de de cet exercice</w:t>
      </w:r>
      <w:r w:rsidR="000B08F2" w:rsidRPr="0059083D">
        <w:rPr>
          <w:lang w:val="fr-CA"/>
        </w:rPr>
        <w:t xml:space="preserve">[, </w:t>
      </w:r>
      <w:r w:rsidRPr="0059083D">
        <w:rPr>
          <w:lang w:val="fr-CA"/>
        </w:rPr>
        <w:t xml:space="preserve">tous </w:t>
      </w:r>
      <w:r w:rsidR="008C4D17">
        <w:rPr>
          <w:lang w:val="fr-CA"/>
        </w:rPr>
        <w:t>c</w:t>
      </w:r>
      <w:r w:rsidRPr="0059083D">
        <w:rPr>
          <w:lang w:val="fr-CA"/>
        </w:rPr>
        <w:t xml:space="preserve">es états financiers </w:t>
      </w:r>
      <w:r w:rsidR="008C4D17">
        <w:rPr>
          <w:lang w:val="fr-CA"/>
        </w:rPr>
        <w:t xml:space="preserve">étant </w:t>
      </w:r>
      <w:r w:rsidRPr="0059083D">
        <w:rPr>
          <w:lang w:val="fr-CA"/>
        </w:rPr>
        <w:t>audités</w:t>
      </w:r>
      <w:r w:rsidR="008C4D17">
        <w:rPr>
          <w:lang w:val="fr-CA"/>
        </w:rPr>
        <w:t xml:space="preserve"> et</w:t>
      </w:r>
      <w:r w:rsidRPr="0059083D">
        <w:rPr>
          <w:lang w:val="fr-CA"/>
        </w:rPr>
        <w:t xml:space="preserve"> accompagnés d’un rapport d’auditeurs indépendants reconnus à l’échelle </w:t>
      </w:r>
      <w:r w:rsidR="000B08F2" w:rsidRPr="0059083D">
        <w:rPr>
          <w:lang w:val="fr-CA"/>
        </w:rPr>
        <w:t>[</w:t>
      </w:r>
      <w:r w:rsidRPr="0059083D">
        <w:rPr>
          <w:lang w:val="fr-CA"/>
        </w:rPr>
        <w:t>nationale</w:t>
      </w:r>
      <w:r w:rsidR="00651492">
        <w:rPr>
          <w:lang w:val="fr-CA"/>
        </w:rPr>
        <w:t xml:space="preserve"> / </w:t>
      </w:r>
      <w:r w:rsidRPr="0059083D">
        <w:rPr>
          <w:lang w:val="fr-CA"/>
        </w:rPr>
        <w:t>régionale</w:t>
      </w:r>
      <w:r w:rsidR="000B08F2" w:rsidRPr="0059083D">
        <w:rPr>
          <w:lang w:val="fr-CA"/>
        </w:rPr>
        <w:t xml:space="preserve">] </w:t>
      </w:r>
      <w:r w:rsidRPr="0059083D">
        <w:rPr>
          <w:lang w:val="fr-CA"/>
        </w:rPr>
        <w:t xml:space="preserve">choisis par </w:t>
      </w:r>
      <w:r w:rsidR="000B08F2" w:rsidRPr="0059083D">
        <w:rPr>
          <w:lang w:val="fr-CA"/>
        </w:rPr>
        <w:t>la Société</w:t>
      </w:r>
      <w:bookmarkStart w:id="254" w:name="_Ref448380709"/>
      <w:r w:rsidR="008C4D17" w:rsidRPr="00986BEB">
        <w:rPr>
          <w:rStyle w:val="FootnoteReference"/>
          <w:lang w:val="fr-CA"/>
        </w:rPr>
        <w:footnoteReference w:id="40"/>
      </w:r>
      <w:bookmarkEnd w:id="254"/>
      <w:r w:rsidR="000B08F2" w:rsidRPr="0059083D">
        <w:rPr>
          <w:lang w:val="fr-CA"/>
        </w:rPr>
        <w:t>];</w:t>
      </w:r>
      <w:bookmarkEnd w:id="249"/>
    </w:p>
    <w:p w14:paraId="306711C4" w14:textId="5581491A" w:rsidR="00037C7E" w:rsidRPr="00986BEB" w:rsidRDefault="0006151F">
      <w:pPr>
        <w:pStyle w:val="StandardL3"/>
        <w:rPr>
          <w:lang w:val="fr-CA"/>
        </w:rPr>
      </w:pPr>
      <w:bookmarkStart w:id="255" w:name="_Ref448380616"/>
      <w:r w:rsidRPr="009D4254">
        <w:rPr>
          <w:szCs w:val="16"/>
          <w:lang w:val="fr-CA"/>
        </w:rPr>
        <w:t xml:space="preserve">dès que possible, mais </w:t>
      </w:r>
      <w:r w:rsidR="002F628F">
        <w:rPr>
          <w:szCs w:val="16"/>
          <w:lang w:val="fr-CA"/>
        </w:rPr>
        <w:t xml:space="preserve">quoi qu’il en soit </w:t>
      </w:r>
      <w:r w:rsidRPr="009D4254">
        <w:rPr>
          <w:szCs w:val="16"/>
          <w:lang w:val="fr-CA"/>
        </w:rPr>
        <w:t xml:space="preserve">dans les quarante-cinq </w:t>
      </w:r>
      <w:r w:rsidR="000B08F2" w:rsidRPr="009D4254">
        <w:rPr>
          <w:szCs w:val="16"/>
          <w:lang w:val="fr-CA"/>
        </w:rPr>
        <w:t>(</w:t>
      </w:r>
      <w:r w:rsidR="000B08F2" w:rsidRPr="00986BEB">
        <w:rPr>
          <w:szCs w:val="16"/>
          <w:lang w:val="fr-CA"/>
        </w:rPr>
        <w:t>45</w:t>
      </w:r>
      <w:r w:rsidR="000B08F2" w:rsidRPr="009D4254">
        <w:rPr>
          <w:szCs w:val="16"/>
          <w:lang w:val="fr-CA"/>
        </w:rPr>
        <w:t>)</w:t>
      </w:r>
      <w:r w:rsidRPr="009D4254">
        <w:rPr>
          <w:szCs w:val="16"/>
          <w:lang w:val="fr-CA"/>
        </w:rPr>
        <w:t xml:space="preserve"> jours suivant la fin de chaque trimestre de chaque exercice </w:t>
      </w:r>
      <w:r w:rsidR="000B08F2" w:rsidRPr="009D4254">
        <w:rPr>
          <w:szCs w:val="16"/>
          <w:lang w:val="fr-CA"/>
        </w:rPr>
        <w:t xml:space="preserve">de la Société, </w:t>
      </w:r>
      <w:r w:rsidRPr="009D4254">
        <w:rPr>
          <w:szCs w:val="16"/>
          <w:lang w:val="fr-CA"/>
        </w:rPr>
        <w:t xml:space="preserve">des états des résultats et des flux de trésorerie non audités pour ce trimestre, ainsi qu’un bilan non audité </w:t>
      </w:r>
      <w:r w:rsidR="000B08F2" w:rsidRPr="009D4254">
        <w:rPr>
          <w:szCs w:val="16"/>
          <w:lang w:val="fr-CA"/>
        </w:rPr>
        <w:t>[</w:t>
      </w:r>
      <w:r w:rsidRPr="009D4254">
        <w:rPr>
          <w:szCs w:val="16"/>
          <w:lang w:val="fr-CA"/>
        </w:rPr>
        <w:t>et un état des capitaux propres</w:t>
      </w:r>
      <w:r w:rsidR="000B08F2" w:rsidRPr="009D4254">
        <w:rPr>
          <w:szCs w:val="16"/>
          <w:lang w:val="fr-CA"/>
        </w:rPr>
        <w:t xml:space="preserve">] </w:t>
      </w:r>
      <w:r w:rsidRPr="009D4254">
        <w:rPr>
          <w:szCs w:val="16"/>
          <w:lang w:val="fr-CA"/>
        </w:rPr>
        <w:t xml:space="preserve">en date de la fin de ce trimestre, tous dressés conformément aux </w:t>
      </w:r>
      <w:r w:rsidR="00F52467" w:rsidRPr="009D4254">
        <w:rPr>
          <w:szCs w:val="16"/>
          <w:lang w:val="fr-CA"/>
        </w:rPr>
        <w:t>PCGR</w:t>
      </w:r>
      <w:r w:rsidR="000B08F2" w:rsidRPr="009D4254">
        <w:rPr>
          <w:szCs w:val="16"/>
          <w:lang w:val="fr-CA"/>
        </w:rPr>
        <w:t xml:space="preserve"> (</w:t>
      </w:r>
      <w:r w:rsidRPr="009D4254">
        <w:rPr>
          <w:szCs w:val="16"/>
          <w:lang w:val="fr-CA"/>
        </w:rPr>
        <w:t xml:space="preserve">étant entendu que ces états financiers peuvent </w:t>
      </w:r>
      <w:r w:rsidR="000B08F2" w:rsidRPr="009D4254">
        <w:rPr>
          <w:szCs w:val="16"/>
          <w:lang w:val="fr-CA"/>
        </w:rPr>
        <w:t>(</w:t>
      </w:r>
      <w:r w:rsidR="000B08F2" w:rsidRPr="00986BEB">
        <w:rPr>
          <w:szCs w:val="16"/>
          <w:lang w:val="fr-CA"/>
        </w:rPr>
        <w:t>i</w:t>
      </w:r>
      <w:r w:rsidR="000B08F2" w:rsidRPr="009D4254">
        <w:rPr>
          <w:szCs w:val="16"/>
          <w:lang w:val="fr-CA"/>
        </w:rPr>
        <w:t>)</w:t>
      </w:r>
      <w:r w:rsidRPr="009D4254">
        <w:rPr>
          <w:szCs w:val="16"/>
          <w:lang w:val="fr-CA"/>
        </w:rPr>
        <w:t> faire l’objet de redressements de fin d’exercice usuels à la suite de l’audit</w:t>
      </w:r>
      <w:r w:rsidR="000B08F2" w:rsidRPr="009D4254">
        <w:rPr>
          <w:szCs w:val="16"/>
          <w:lang w:val="fr-CA"/>
        </w:rPr>
        <w:t xml:space="preserve"> </w:t>
      </w:r>
      <w:r w:rsidRPr="009D4254">
        <w:rPr>
          <w:szCs w:val="16"/>
          <w:lang w:val="fr-CA"/>
        </w:rPr>
        <w:t>et</w:t>
      </w:r>
      <w:r w:rsidR="000B08F2" w:rsidRPr="009D4254">
        <w:rPr>
          <w:szCs w:val="16"/>
          <w:lang w:val="fr-CA"/>
        </w:rPr>
        <w:t xml:space="preserve"> </w:t>
      </w:r>
      <w:bookmarkStart w:id="256" w:name="DocXTextRef203"/>
      <w:r w:rsidR="000B08F2" w:rsidRPr="009D4254">
        <w:rPr>
          <w:szCs w:val="16"/>
          <w:lang w:val="fr-CA"/>
        </w:rPr>
        <w:t>(</w:t>
      </w:r>
      <w:r w:rsidR="000B08F2" w:rsidRPr="00986BEB">
        <w:rPr>
          <w:szCs w:val="16"/>
          <w:lang w:val="fr-CA"/>
        </w:rPr>
        <w:t>ii</w:t>
      </w:r>
      <w:r w:rsidR="000B08F2" w:rsidRPr="009D4254">
        <w:rPr>
          <w:szCs w:val="16"/>
          <w:lang w:val="fr-CA"/>
        </w:rPr>
        <w:t>)</w:t>
      </w:r>
      <w:bookmarkEnd w:id="256"/>
      <w:r w:rsidRPr="009D4254">
        <w:rPr>
          <w:lang w:val="fr-CA"/>
        </w:rPr>
        <w:t xml:space="preserve"> ne pas contenir toutes les notes complémentaires qui pourraient être requises </w:t>
      </w:r>
      <w:r w:rsidR="002F628F">
        <w:rPr>
          <w:lang w:val="fr-CA"/>
        </w:rPr>
        <w:t>conformément aux</w:t>
      </w:r>
      <w:r w:rsidRPr="009D4254">
        <w:rPr>
          <w:lang w:val="fr-CA"/>
        </w:rPr>
        <w:t xml:space="preserve"> </w:t>
      </w:r>
      <w:r w:rsidR="00F52467" w:rsidRPr="009D4254">
        <w:rPr>
          <w:lang w:val="fr-CA"/>
        </w:rPr>
        <w:t>PCGR</w:t>
      </w:r>
      <w:r w:rsidR="000B08F2" w:rsidRPr="009D4254">
        <w:rPr>
          <w:lang w:val="fr-CA"/>
        </w:rPr>
        <w:t>);</w:t>
      </w:r>
      <w:bookmarkEnd w:id="255"/>
    </w:p>
    <w:p w14:paraId="7D2156D4" w14:textId="5063C878" w:rsidR="00037C7E" w:rsidRPr="00986BEB" w:rsidRDefault="000B08F2">
      <w:pPr>
        <w:pStyle w:val="StandardL3"/>
        <w:rPr>
          <w:lang w:val="fr-CA"/>
        </w:rPr>
      </w:pPr>
      <w:bookmarkStart w:id="257" w:name="_Ref448380617"/>
      <w:r w:rsidRPr="0059083D">
        <w:rPr>
          <w:lang w:val="fr-CA"/>
        </w:rPr>
        <w:t>[</w:t>
      </w:r>
      <w:r w:rsidR="0006151F" w:rsidRPr="0059083D">
        <w:rPr>
          <w:lang w:val="fr-CA"/>
        </w:rPr>
        <w:t>dès que possible</w:t>
      </w:r>
      <w:r w:rsidRPr="0059083D">
        <w:rPr>
          <w:lang w:val="fr-CA"/>
        </w:rPr>
        <w:t xml:space="preserve">, </w:t>
      </w:r>
      <w:r w:rsidR="0006151F" w:rsidRPr="009D4254">
        <w:rPr>
          <w:szCs w:val="16"/>
          <w:lang w:val="fr-CA"/>
        </w:rPr>
        <w:t xml:space="preserve">mais </w:t>
      </w:r>
      <w:r w:rsidR="002F628F">
        <w:rPr>
          <w:szCs w:val="16"/>
          <w:lang w:val="fr-CA"/>
        </w:rPr>
        <w:t xml:space="preserve">quoi qu’il en soit </w:t>
      </w:r>
      <w:r w:rsidR="0006151F" w:rsidRPr="009D4254">
        <w:rPr>
          <w:szCs w:val="16"/>
          <w:lang w:val="fr-CA"/>
        </w:rPr>
        <w:t>dans les quarante-cinq (</w:t>
      </w:r>
      <w:r w:rsidR="0006151F" w:rsidRPr="00986BEB">
        <w:rPr>
          <w:szCs w:val="16"/>
          <w:lang w:val="fr-CA"/>
        </w:rPr>
        <w:t>45</w:t>
      </w:r>
      <w:r w:rsidR="0006151F" w:rsidRPr="009D4254">
        <w:rPr>
          <w:szCs w:val="16"/>
          <w:lang w:val="fr-CA"/>
        </w:rPr>
        <w:t>) jours suivant la fin de chaque trimestre de chaque exercice</w:t>
      </w:r>
      <w:r w:rsidR="0006151F" w:rsidRPr="0059083D">
        <w:rPr>
          <w:lang w:val="fr-CA"/>
        </w:rPr>
        <w:t xml:space="preserve"> </w:t>
      </w:r>
      <w:r w:rsidRPr="0059083D">
        <w:rPr>
          <w:lang w:val="fr-CA"/>
        </w:rPr>
        <w:t xml:space="preserve">de la Société, </w:t>
      </w:r>
      <w:r w:rsidR="00D22551" w:rsidRPr="0059083D">
        <w:rPr>
          <w:lang w:val="fr-CA"/>
        </w:rPr>
        <w:t xml:space="preserve">un état </w:t>
      </w:r>
      <w:r w:rsidR="00E33A70">
        <w:rPr>
          <w:lang w:val="fr-CA"/>
        </w:rPr>
        <w:t>indiquant</w:t>
      </w:r>
      <w:r w:rsidR="00D22551" w:rsidRPr="0059083D">
        <w:rPr>
          <w:lang w:val="fr-CA"/>
        </w:rPr>
        <w:t xml:space="preserve"> le nombre d’actions de chaque catégorie et de chaque série et le nombre de </w:t>
      </w:r>
      <w:r w:rsidR="007C4E71" w:rsidRPr="0059083D">
        <w:rPr>
          <w:lang w:val="fr-CA"/>
        </w:rPr>
        <w:t>titres</w:t>
      </w:r>
      <w:r w:rsidRPr="0059083D">
        <w:rPr>
          <w:lang w:val="fr-CA"/>
        </w:rPr>
        <w:t xml:space="preserve"> </w:t>
      </w:r>
      <w:r w:rsidR="00D22551" w:rsidRPr="0059083D">
        <w:rPr>
          <w:lang w:val="fr-CA"/>
        </w:rPr>
        <w:t>dont la conversion ou l’échange permet d’obtenir des actions qui sont en circulation à la fin de la période, le nombre d’</w:t>
      </w:r>
      <w:r w:rsidRPr="0059083D">
        <w:rPr>
          <w:lang w:val="fr-CA"/>
        </w:rPr>
        <w:t xml:space="preserve">Actions ordinaires </w:t>
      </w:r>
      <w:r w:rsidR="00D22551" w:rsidRPr="0059083D">
        <w:rPr>
          <w:lang w:val="fr-CA"/>
        </w:rPr>
        <w:t xml:space="preserve">pouvant être émises à la conversion ou à l’exercice de </w:t>
      </w:r>
      <w:r w:rsidR="007C4E71" w:rsidRPr="0059083D">
        <w:rPr>
          <w:lang w:val="fr-CA"/>
        </w:rPr>
        <w:t>titres</w:t>
      </w:r>
      <w:r w:rsidRPr="0059083D">
        <w:rPr>
          <w:lang w:val="fr-CA"/>
        </w:rPr>
        <w:t xml:space="preserve"> </w:t>
      </w:r>
      <w:r w:rsidR="00971A2D">
        <w:rPr>
          <w:lang w:val="fr-CA"/>
        </w:rPr>
        <w:t xml:space="preserve">en circulation </w:t>
      </w:r>
      <w:r w:rsidR="00D22551" w:rsidRPr="0059083D">
        <w:rPr>
          <w:lang w:val="fr-CA"/>
        </w:rPr>
        <w:t xml:space="preserve">dont la conversion ou l’échange permet d’obtenir des </w:t>
      </w:r>
      <w:r w:rsidRPr="0059083D">
        <w:rPr>
          <w:lang w:val="fr-CA"/>
        </w:rPr>
        <w:t xml:space="preserve">Actions ordinaires </w:t>
      </w:r>
      <w:r w:rsidR="00D22551" w:rsidRPr="0059083D">
        <w:rPr>
          <w:lang w:val="fr-CA"/>
        </w:rPr>
        <w:t>et le coefficient d’échange ou le prix d’exercice applicable, ainsi que le nombre d’actions visées par des options d’achat d’actions émises et des options d’achat d’actions non encore émises</w:t>
      </w:r>
      <w:r w:rsidR="00971A2D">
        <w:rPr>
          <w:lang w:val="fr-CA"/>
        </w:rPr>
        <w:t>,</w:t>
      </w:r>
      <w:r w:rsidR="00D22551" w:rsidRPr="0059083D">
        <w:rPr>
          <w:lang w:val="fr-CA"/>
        </w:rPr>
        <w:t xml:space="preserve"> mais réservées aux fins d’émission</w:t>
      </w:r>
      <w:r w:rsidRPr="0059083D">
        <w:rPr>
          <w:lang w:val="fr-CA"/>
        </w:rPr>
        <w:t xml:space="preserve">, </w:t>
      </w:r>
      <w:r w:rsidR="00D22551" w:rsidRPr="0059083D">
        <w:rPr>
          <w:lang w:val="fr-CA"/>
        </w:rPr>
        <w:t xml:space="preserve">le cas échéant, le tout de manière suffisamment détaillée pour permettre aux </w:t>
      </w:r>
      <w:r w:rsidR="006C7CDF" w:rsidRPr="0059083D">
        <w:rPr>
          <w:lang w:val="fr-CA"/>
        </w:rPr>
        <w:t>Investisseurs importants</w:t>
      </w:r>
      <w:r w:rsidRPr="0059083D">
        <w:rPr>
          <w:lang w:val="fr-CA"/>
        </w:rPr>
        <w:t xml:space="preserve"> </w:t>
      </w:r>
      <w:r w:rsidR="00D22551" w:rsidRPr="0059083D">
        <w:rPr>
          <w:lang w:val="fr-CA"/>
        </w:rPr>
        <w:t>de calculer leur pourcentage de participation respecti</w:t>
      </w:r>
      <w:r w:rsidR="00E33A70">
        <w:rPr>
          <w:lang w:val="fr-CA"/>
        </w:rPr>
        <w:t>f</w:t>
      </w:r>
      <w:r w:rsidR="00D22551" w:rsidRPr="0059083D">
        <w:rPr>
          <w:lang w:val="fr-CA"/>
        </w:rPr>
        <w:t xml:space="preserve"> dans </w:t>
      </w:r>
      <w:r w:rsidRPr="0059083D">
        <w:rPr>
          <w:lang w:val="fr-CA"/>
        </w:rPr>
        <w:t xml:space="preserve">la Société, </w:t>
      </w:r>
      <w:r w:rsidR="00D22551" w:rsidRPr="0059083D">
        <w:rPr>
          <w:lang w:val="fr-CA"/>
        </w:rPr>
        <w:t>et certifié par le chef des finances</w:t>
      </w:r>
      <w:r w:rsidRPr="0059083D">
        <w:rPr>
          <w:lang w:val="fr-CA"/>
        </w:rPr>
        <w:t xml:space="preserve"> o</w:t>
      </w:r>
      <w:r w:rsidR="00D22551" w:rsidRPr="0059083D">
        <w:rPr>
          <w:lang w:val="fr-CA"/>
        </w:rPr>
        <w:t>u le chef de la direction</w:t>
      </w:r>
      <w:r w:rsidRPr="0059083D">
        <w:rPr>
          <w:lang w:val="fr-CA"/>
        </w:rPr>
        <w:t xml:space="preserve"> de la Société </w:t>
      </w:r>
      <w:r w:rsidR="00D22551" w:rsidRPr="0059083D">
        <w:rPr>
          <w:lang w:val="fr-CA"/>
        </w:rPr>
        <w:t>comme étant véridique, exhaustif et exact</w:t>
      </w:r>
      <w:r w:rsidRPr="0059083D">
        <w:rPr>
          <w:lang w:val="fr-CA"/>
        </w:rPr>
        <w:t>;]</w:t>
      </w:r>
      <w:bookmarkEnd w:id="257"/>
    </w:p>
    <w:p w14:paraId="030CFFED" w14:textId="71104C0F" w:rsidR="00037C7E" w:rsidRPr="00986BEB" w:rsidRDefault="000B08F2">
      <w:pPr>
        <w:pStyle w:val="StandardL3"/>
        <w:rPr>
          <w:color w:val="000000"/>
          <w:szCs w:val="16"/>
          <w:lang w:val="fr-CA"/>
        </w:rPr>
      </w:pPr>
      <w:bookmarkStart w:id="258" w:name="_Ref448380618"/>
      <w:r w:rsidRPr="009D4254">
        <w:rPr>
          <w:szCs w:val="16"/>
          <w:lang w:val="fr-CA"/>
        </w:rPr>
        <w:t>[</w:t>
      </w:r>
      <w:r w:rsidR="00D22551" w:rsidRPr="0059083D">
        <w:rPr>
          <w:lang w:val="fr-CA"/>
        </w:rPr>
        <w:t xml:space="preserve">dès que possible, </w:t>
      </w:r>
      <w:r w:rsidR="00D22551" w:rsidRPr="009D4254">
        <w:rPr>
          <w:szCs w:val="16"/>
          <w:lang w:val="fr-CA"/>
        </w:rPr>
        <w:t xml:space="preserve">mais </w:t>
      </w:r>
      <w:r w:rsidR="00E33A70">
        <w:rPr>
          <w:szCs w:val="16"/>
          <w:lang w:val="fr-CA"/>
        </w:rPr>
        <w:t xml:space="preserve">quoi qu’il en soit </w:t>
      </w:r>
      <w:r w:rsidR="00D22551" w:rsidRPr="009D4254">
        <w:rPr>
          <w:szCs w:val="16"/>
          <w:lang w:val="fr-CA"/>
        </w:rPr>
        <w:t xml:space="preserve">dans les trente </w:t>
      </w:r>
      <w:r w:rsidRPr="009D4254">
        <w:rPr>
          <w:szCs w:val="16"/>
          <w:lang w:val="fr-CA"/>
        </w:rPr>
        <w:t>(</w:t>
      </w:r>
      <w:r w:rsidRPr="00986BEB">
        <w:rPr>
          <w:szCs w:val="16"/>
          <w:lang w:val="fr-CA"/>
        </w:rPr>
        <w:t>30</w:t>
      </w:r>
      <w:r w:rsidRPr="009D4254">
        <w:rPr>
          <w:szCs w:val="16"/>
          <w:lang w:val="fr-CA"/>
        </w:rPr>
        <w:t>)</w:t>
      </w:r>
      <w:r w:rsidR="00D22551" w:rsidRPr="009D4254">
        <w:rPr>
          <w:szCs w:val="16"/>
          <w:lang w:val="fr-CA"/>
        </w:rPr>
        <w:t> jours suivant la fin de chaque mois</w:t>
      </w:r>
      <w:r w:rsidRPr="009D4254">
        <w:rPr>
          <w:szCs w:val="16"/>
          <w:lang w:val="fr-CA"/>
        </w:rPr>
        <w:t xml:space="preserve">, </w:t>
      </w:r>
      <w:r w:rsidR="00D22551" w:rsidRPr="009D4254">
        <w:rPr>
          <w:szCs w:val="16"/>
          <w:lang w:val="fr-CA"/>
        </w:rPr>
        <w:t xml:space="preserve">un état des résultats </w:t>
      </w:r>
      <w:r w:rsidRPr="009D4254">
        <w:rPr>
          <w:szCs w:val="16"/>
          <w:lang w:val="fr-CA"/>
        </w:rPr>
        <w:t>[</w:t>
      </w:r>
      <w:r w:rsidR="00D22551" w:rsidRPr="009D4254">
        <w:rPr>
          <w:szCs w:val="16"/>
          <w:lang w:val="fr-CA"/>
        </w:rPr>
        <w:t>et un état des flux de trésorerie</w:t>
      </w:r>
      <w:r w:rsidRPr="009D4254">
        <w:rPr>
          <w:szCs w:val="16"/>
          <w:lang w:val="fr-CA"/>
        </w:rPr>
        <w:t xml:space="preserve">] </w:t>
      </w:r>
      <w:r w:rsidR="00D22551" w:rsidRPr="009D4254">
        <w:rPr>
          <w:szCs w:val="16"/>
          <w:lang w:val="fr-CA"/>
        </w:rPr>
        <w:t>non audité[s] pour ce mois</w:t>
      </w:r>
      <w:r w:rsidRPr="009D4254">
        <w:rPr>
          <w:szCs w:val="16"/>
          <w:lang w:val="fr-CA"/>
        </w:rPr>
        <w:t xml:space="preserve">, </w:t>
      </w:r>
      <w:r w:rsidR="00D22551" w:rsidRPr="009D4254">
        <w:rPr>
          <w:szCs w:val="16"/>
          <w:lang w:val="fr-CA"/>
        </w:rPr>
        <w:t xml:space="preserve">ainsi qu’un bilan </w:t>
      </w:r>
      <w:r w:rsidRPr="009D4254">
        <w:rPr>
          <w:szCs w:val="16"/>
          <w:lang w:val="fr-CA"/>
        </w:rPr>
        <w:t>[</w:t>
      </w:r>
      <w:r w:rsidR="00D22551" w:rsidRPr="009D4254">
        <w:rPr>
          <w:szCs w:val="16"/>
          <w:lang w:val="fr-CA"/>
        </w:rPr>
        <w:t>et un état des capitaux propres</w:t>
      </w:r>
      <w:r w:rsidRPr="009D4254">
        <w:rPr>
          <w:szCs w:val="16"/>
          <w:lang w:val="fr-CA"/>
        </w:rPr>
        <w:t xml:space="preserve">] </w:t>
      </w:r>
      <w:r w:rsidR="00D22551" w:rsidRPr="009D4254">
        <w:rPr>
          <w:szCs w:val="16"/>
          <w:lang w:val="fr-CA"/>
        </w:rPr>
        <w:t>non audité[s] en date de la fin de ce mois</w:t>
      </w:r>
      <w:r w:rsidRPr="009D4254">
        <w:rPr>
          <w:szCs w:val="16"/>
          <w:lang w:val="fr-CA"/>
        </w:rPr>
        <w:t xml:space="preserve">, </w:t>
      </w:r>
      <w:r w:rsidR="00D22551" w:rsidRPr="009D4254">
        <w:rPr>
          <w:szCs w:val="16"/>
          <w:lang w:val="fr-CA"/>
        </w:rPr>
        <w:t xml:space="preserve">tous dressés conformément aux </w:t>
      </w:r>
      <w:r w:rsidR="00F52467" w:rsidRPr="009D4254">
        <w:rPr>
          <w:szCs w:val="16"/>
          <w:lang w:val="fr-CA"/>
        </w:rPr>
        <w:t>PCGR</w:t>
      </w:r>
      <w:r w:rsidRPr="009D4254">
        <w:rPr>
          <w:szCs w:val="16"/>
          <w:lang w:val="fr-CA"/>
        </w:rPr>
        <w:t xml:space="preserve"> (</w:t>
      </w:r>
      <w:r w:rsidR="00D22551" w:rsidRPr="009D4254">
        <w:rPr>
          <w:szCs w:val="16"/>
          <w:lang w:val="fr-CA"/>
        </w:rPr>
        <w:t>étant entendu que ces états financiers peuvent (</w:t>
      </w:r>
      <w:r w:rsidR="00D22551" w:rsidRPr="00986BEB">
        <w:rPr>
          <w:szCs w:val="16"/>
          <w:lang w:val="fr-CA"/>
        </w:rPr>
        <w:t>i</w:t>
      </w:r>
      <w:r w:rsidR="00D22551" w:rsidRPr="009D4254">
        <w:rPr>
          <w:szCs w:val="16"/>
          <w:lang w:val="fr-CA"/>
        </w:rPr>
        <w:t>) faire l’objet de redressements de fins d’exercice usuels à la suite de l’audit et (</w:t>
      </w:r>
      <w:r w:rsidR="00D22551" w:rsidRPr="00986BEB">
        <w:rPr>
          <w:szCs w:val="16"/>
          <w:lang w:val="fr-CA"/>
        </w:rPr>
        <w:t>ii</w:t>
      </w:r>
      <w:r w:rsidR="00D22551" w:rsidRPr="009D4254">
        <w:rPr>
          <w:szCs w:val="16"/>
          <w:lang w:val="fr-CA"/>
        </w:rPr>
        <w:t>)</w:t>
      </w:r>
      <w:r w:rsidR="00D22551" w:rsidRPr="009D4254">
        <w:rPr>
          <w:lang w:val="fr-CA"/>
        </w:rPr>
        <w:t xml:space="preserve"> ne pas contenir toutes les notes complémentaires qui pourraient être requises </w:t>
      </w:r>
      <w:r w:rsidR="00540B53">
        <w:rPr>
          <w:lang w:val="fr-CA"/>
        </w:rPr>
        <w:t xml:space="preserve">conformément aux </w:t>
      </w:r>
      <w:r w:rsidR="00D22551" w:rsidRPr="009D4254">
        <w:rPr>
          <w:lang w:val="fr-CA"/>
        </w:rPr>
        <w:t>PCGR)</w:t>
      </w:r>
      <w:r w:rsidRPr="009D4254">
        <w:rPr>
          <w:szCs w:val="16"/>
          <w:lang w:val="fr-CA"/>
        </w:rPr>
        <w:t>;]</w:t>
      </w:r>
      <w:bookmarkEnd w:id="258"/>
    </w:p>
    <w:p w14:paraId="24C2D2C8" w14:textId="6ADFC6CF" w:rsidR="00037C7E" w:rsidRPr="00986BEB" w:rsidRDefault="00D22551">
      <w:pPr>
        <w:pStyle w:val="StandardL3"/>
        <w:rPr>
          <w:lang w:val="fr-CA"/>
        </w:rPr>
      </w:pPr>
      <w:bookmarkStart w:id="259" w:name="_Ref448380619"/>
      <w:r w:rsidRPr="0059083D">
        <w:rPr>
          <w:lang w:val="fr-CA"/>
        </w:rPr>
        <w:t xml:space="preserve">dès que possible, </w:t>
      </w:r>
      <w:r w:rsidRPr="009D4254">
        <w:rPr>
          <w:szCs w:val="16"/>
          <w:lang w:val="fr-CA"/>
        </w:rPr>
        <w:t xml:space="preserve">mais </w:t>
      </w:r>
      <w:r w:rsidR="00540B53">
        <w:rPr>
          <w:szCs w:val="16"/>
          <w:lang w:val="fr-CA"/>
        </w:rPr>
        <w:t xml:space="preserve">quoi qu’il en soit </w:t>
      </w:r>
      <w:r w:rsidRPr="009D4254">
        <w:rPr>
          <w:szCs w:val="16"/>
          <w:lang w:val="fr-CA"/>
        </w:rPr>
        <w:t>trente (</w:t>
      </w:r>
      <w:r w:rsidRPr="00986BEB">
        <w:rPr>
          <w:szCs w:val="16"/>
          <w:lang w:val="fr-CA"/>
        </w:rPr>
        <w:t>30</w:t>
      </w:r>
      <w:r w:rsidRPr="009D4254">
        <w:rPr>
          <w:szCs w:val="16"/>
          <w:lang w:val="fr-CA"/>
        </w:rPr>
        <w:t xml:space="preserve">) jours </w:t>
      </w:r>
      <w:r w:rsidR="00971A2D">
        <w:rPr>
          <w:szCs w:val="16"/>
          <w:lang w:val="fr-CA"/>
        </w:rPr>
        <w:t xml:space="preserve">avant </w:t>
      </w:r>
      <w:r w:rsidRPr="009D4254">
        <w:rPr>
          <w:szCs w:val="16"/>
          <w:lang w:val="fr-CA"/>
        </w:rPr>
        <w:t xml:space="preserve">la fin de </w:t>
      </w:r>
      <w:r w:rsidRPr="009D4254">
        <w:rPr>
          <w:szCs w:val="24"/>
          <w:lang w:val="fr-CA"/>
        </w:rPr>
        <w:t>chaque exercice</w:t>
      </w:r>
      <w:r w:rsidR="00294294" w:rsidRPr="009D4254">
        <w:rPr>
          <w:szCs w:val="24"/>
          <w:lang w:val="fr-CA"/>
        </w:rPr>
        <w:t xml:space="preserve">, </w:t>
      </w:r>
      <w:r w:rsidRPr="009D4254">
        <w:rPr>
          <w:szCs w:val="24"/>
          <w:lang w:val="fr-CA"/>
        </w:rPr>
        <w:t xml:space="preserve">un </w:t>
      </w:r>
      <w:r w:rsidR="00294294" w:rsidRPr="009D4254">
        <w:rPr>
          <w:szCs w:val="24"/>
          <w:lang w:val="fr-CA"/>
        </w:rPr>
        <w:t xml:space="preserve">budget </w:t>
      </w:r>
      <w:r w:rsidRPr="009D4254">
        <w:rPr>
          <w:szCs w:val="24"/>
          <w:lang w:val="fr-CA"/>
        </w:rPr>
        <w:t>et un plan d’affaires pour l’exercice suivant</w:t>
      </w:r>
      <w:r w:rsidR="00294294" w:rsidRPr="009D4254">
        <w:rPr>
          <w:szCs w:val="24"/>
          <w:lang w:val="fr-CA"/>
        </w:rPr>
        <w:t xml:space="preserve">, </w:t>
      </w:r>
      <w:r w:rsidRPr="009D4254">
        <w:rPr>
          <w:szCs w:val="24"/>
          <w:lang w:val="fr-CA"/>
        </w:rPr>
        <w:t>établis sur une base mensuelle</w:t>
      </w:r>
      <w:r w:rsidR="00294294" w:rsidRPr="009D4254">
        <w:rPr>
          <w:szCs w:val="24"/>
          <w:lang w:val="fr-CA"/>
        </w:rPr>
        <w:t xml:space="preserve">, </w:t>
      </w:r>
      <w:r w:rsidRPr="009D4254">
        <w:rPr>
          <w:szCs w:val="24"/>
          <w:lang w:val="fr-CA"/>
        </w:rPr>
        <w:t xml:space="preserve">y compris des bilans, des états des résultats et des états des flux de trésorerie pour ces mois et, dans les meilleurs délais après leur établissement, les autres budgets ou budgets révisés établis par </w:t>
      </w:r>
      <w:r w:rsidR="000B08F2" w:rsidRPr="009D4254">
        <w:rPr>
          <w:szCs w:val="24"/>
          <w:lang w:val="fr-CA"/>
        </w:rPr>
        <w:t>la Société</w:t>
      </w:r>
      <w:r w:rsidR="00294294" w:rsidRPr="009D4254">
        <w:rPr>
          <w:szCs w:val="24"/>
          <w:lang w:val="fr-CA"/>
        </w:rPr>
        <w:t xml:space="preserve"> (</w:t>
      </w:r>
      <w:r w:rsidRPr="009D4254">
        <w:rPr>
          <w:szCs w:val="24"/>
          <w:lang w:val="fr-CA"/>
        </w:rPr>
        <w:t xml:space="preserve">un </w:t>
      </w:r>
      <w:r w:rsidR="00540B53">
        <w:rPr>
          <w:szCs w:val="24"/>
          <w:lang w:val="fr-CA"/>
        </w:rPr>
        <w:t xml:space="preserve">tel </w:t>
      </w:r>
      <w:r w:rsidRPr="009D4254">
        <w:rPr>
          <w:szCs w:val="24"/>
          <w:lang w:val="fr-CA"/>
        </w:rPr>
        <w:t xml:space="preserve">budget et un </w:t>
      </w:r>
      <w:r w:rsidR="00540B53">
        <w:rPr>
          <w:szCs w:val="24"/>
          <w:lang w:val="fr-CA"/>
        </w:rPr>
        <w:t xml:space="preserve">tel </w:t>
      </w:r>
      <w:r w:rsidRPr="009D4254">
        <w:rPr>
          <w:szCs w:val="24"/>
          <w:lang w:val="fr-CA"/>
        </w:rPr>
        <w:t>plan d’affaires</w:t>
      </w:r>
      <w:r w:rsidR="00277678">
        <w:rPr>
          <w:szCs w:val="24"/>
          <w:lang w:val="fr-CA"/>
        </w:rPr>
        <w:t>, une fois</w:t>
      </w:r>
      <w:r w:rsidRPr="009D4254">
        <w:rPr>
          <w:szCs w:val="24"/>
          <w:lang w:val="fr-CA"/>
        </w:rPr>
        <w:t xml:space="preserve"> approuvé</w:t>
      </w:r>
      <w:r w:rsidR="00540B53">
        <w:rPr>
          <w:szCs w:val="24"/>
          <w:lang w:val="fr-CA"/>
        </w:rPr>
        <w:t>s</w:t>
      </w:r>
      <w:r w:rsidRPr="009D4254">
        <w:rPr>
          <w:szCs w:val="24"/>
          <w:lang w:val="fr-CA"/>
        </w:rPr>
        <w:t xml:space="preserve"> par </w:t>
      </w:r>
      <w:r w:rsidR="000B08F2" w:rsidRPr="009D4254">
        <w:rPr>
          <w:szCs w:val="24"/>
          <w:lang w:val="fr-CA"/>
        </w:rPr>
        <w:t>le Conseil d’administration</w:t>
      </w:r>
      <w:r w:rsidR="00294294" w:rsidRPr="009D4254">
        <w:rPr>
          <w:szCs w:val="24"/>
          <w:lang w:val="fr-CA"/>
        </w:rPr>
        <w:t xml:space="preserve"> [(</w:t>
      </w:r>
      <w:r w:rsidRPr="009D4254">
        <w:rPr>
          <w:szCs w:val="24"/>
          <w:lang w:val="fr-CA"/>
        </w:rPr>
        <w:t xml:space="preserve">y compris par le vote </w:t>
      </w:r>
      <w:r w:rsidR="00294294" w:rsidRPr="009D4254">
        <w:rPr>
          <w:szCs w:val="24"/>
          <w:lang w:val="fr-CA"/>
        </w:rPr>
        <w:t>[</w:t>
      </w:r>
      <w:r w:rsidRPr="009D4254">
        <w:rPr>
          <w:szCs w:val="24"/>
          <w:lang w:val="fr-CA"/>
        </w:rPr>
        <w:t>d’un</w:t>
      </w:r>
      <w:r w:rsidR="00540B53">
        <w:rPr>
          <w:szCs w:val="24"/>
          <w:lang w:val="fr-CA"/>
        </w:rPr>
        <w:t xml:space="preserve"> </w:t>
      </w:r>
      <w:r w:rsidR="00294294" w:rsidRPr="009D4254">
        <w:rPr>
          <w:szCs w:val="24"/>
          <w:lang w:val="fr-CA"/>
        </w:rPr>
        <w:t>/</w:t>
      </w:r>
      <w:r w:rsidR="00540B53">
        <w:rPr>
          <w:szCs w:val="24"/>
          <w:lang w:val="fr-CA"/>
        </w:rPr>
        <w:t xml:space="preserve"> </w:t>
      </w:r>
      <w:r w:rsidRPr="009D4254">
        <w:rPr>
          <w:szCs w:val="24"/>
          <w:lang w:val="fr-CA"/>
        </w:rPr>
        <w:t>de chacun</w:t>
      </w:r>
      <w:r w:rsidR="00294294" w:rsidRPr="009D4254">
        <w:rPr>
          <w:szCs w:val="24"/>
          <w:lang w:val="fr-CA"/>
        </w:rPr>
        <w:t xml:space="preserve">] </w:t>
      </w:r>
      <w:r w:rsidRPr="009D4254">
        <w:rPr>
          <w:szCs w:val="24"/>
          <w:lang w:val="fr-CA"/>
        </w:rPr>
        <w:t xml:space="preserve">des </w:t>
      </w:r>
      <w:r w:rsidR="004B6285" w:rsidRPr="009D4254">
        <w:rPr>
          <w:szCs w:val="24"/>
          <w:lang w:val="fr-CA"/>
        </w:rPr>
        <w:t>Administrateurs privilégiés</w:t>
      </w:r>
      <w:r w:rsidR="00240723" w:rsidRPr="009D4254">
        <w:rPr>
          <w:lang w:val="fr-CA"/>
        </w:rPr>
        <w:t xml:space="preserve"> </w:t>
      </w:r>
      <w:r w:rsidRPr="009D4254">
        <w:rPr>
          <w:lang w:val="fr-CA"/>
        </w:rPr>
        <w:t xml:space="preserve">alors en fonction (le </w:t>
      </w:r>
      <w:r w:rsidR="000B08F2" w:rsidRPr="009D4254">
        <w:rPr>
          <w:lang w:val="fr-CA"/>
        </w:rPr>
        <w:t>« </w:t>
      </w:r>
      <w:r w:rsidRPr="009D4254">
        <w:rPr>
          <w:b/>
          <w:szCs w:val="24"/>
          <w:lang w:val="fr-CA"/>
        </w:rPr>
        <w:t>Vote requis des Administrateurs privilégiés</w:t>
      </w:r>
      <w:r w:rsidR="000B08F2" w:rsidRPr="009D4254">
        <w:rPr>
          <w:lang w:val="fr-CA"/>
        </w:rPr>
        <w:t> »</w:t>
      </w:r>
      <w:r w:rsidR="00240723" w:rsidRPr="009D4254">
        <w:rPr>
          <w:lang w:val="fr-CA"/>
        </w:rPr>
        <w:t>)</w:t>
      </w:r>
      <w:r w:rsidRPr="009D4254">
        <w:rPr>
          <w:lang w:val="fr-CA"/>
        </w:rPr>
        <w:t>)</w:t>
      </w:r>
      <w:r w:rsidR="00240723" w:rsidRPr="009D4254">
        <w:rPr>
          <w:lang w:val="fr-CA"/>
        </w:rPr>
        <w:t>]</w:t>
      </w:r>
      <w:r w:rsidR="00277678">
        <w:rPr>
          <w:lang w:val="fr-CA"/>
        </w:rPr>
        <w:t>,</w:t>
      </w:r>
      <w:r w:rsidR="00240723" w:rsidRPr="009D4254">
        <w:rPr>
          <w:lang w:val="fr-CA"/>
        </w:rPr>
        <w:t xml:space="preserve"> </w:t>
      </w:r>
      <w:r w:rsidRPr="009D4254">
        <w:rPr>
          <w:lang w:val="fr-CA"/>
        </w:rPr>
        <w:t>étant appelé</w:t>
      </w:r>
      <w:r w:rsidR="00540B53">
        <w:rPr>
          <w:lang w:val="fr-CA"/>
        </w:rPr>
        <w:t>s</w:t>
      </w:r>
      <w:r w:rsidRPr="009D4254">
        <w:rPr>
          <w:lang w:val="fr-CA"/>
        </w:rPr>
        <w:t xml:space="preserve"> collectivement aux présentes le </w:t>
      </w:r>
      <w:r w:rsidR="000B08F2" w:rsidRPr="009D4254">
        <w:rPr>
          <w:lang w:val="fr-CA"/>
        </w:rPr>
        <w:t>« </w:t>
      </w:r>
      <w:r w:rsidR="00294294" w:rsidRPr="009D4254">
        <w:rPr>
          <w:b/>
          <w:szCs w:val="24"/>
          <w:lang w:val="fr-CA"/>
        </w:rPr>
        <w:t>Budget</w:t>
      </w:r>
      <w:r w:rsidR="000B08F2" w:rsidRPr="009D4254">
        <w:rPr>
          <w:lang w:val="fr-CA"/>
        </w:rPr>
        <w:t> »);</w:t>
      </w:r>
      <w:bookmarkEnd w:id="259"/>
    </w:p>
    <w:p w14:paraId="611D1886" w14:textId="5D0C4749" w:rsidR="00037C7E" w:rsidRPr="00986BEB" w:rsidRDefault="000B08F2">
      <w:pPr>
        <w:pStyle w:val="StandardL3"/>
        <w:rPr>
          <w:lang w:val="fr-CA"/>
        </w:rPr>
      </w:pPr>
      <w:bookmarkStart w:id="260" w:name="_Ref448380620"/>
      <w:r w:rsidRPr="0059083D">
        <w:rPr>
          <w:lang w:val="fr-CA"/>
        </w:rPr>
        <w:t>[</w:t>
      </w:r>
      <w:r w:rsidR="00D22551" w:rsidRPr="0059083D">
        <w:rPr>
          <w:lang w:val="fr-CA"/>
        </w:rPr>
        <w:t>en ce qui concerne les états financiers visés par l’</w:t>
      </w:r>
      <w:r w:rsidR="0006561D" w:rsidRPr="0059083D">
        <w:rPr>
          <w:u w:val="single"/>
          <w:lang w:val="fr-CA"/>
        </w:rPr>
        <w:t>alinéa </w:t>
      </w:r>
      <w:r w:rsidRPr="00986BEB">
        <w:rPr>
          <w:u w:val="single"/>
          <w:lang w:val="fr-CA"/>
        </w:rPr>
        <w:fldChar w:fldCharType="begin"/>
      </w:r>
      <w:r w:rsidRPr="00986BEB">
        <w:rPr>
          <w:u w:val="single"/>
          <w:lang w:val="fr-CA"/>
        </w:rPr>
        <w:instrText xml:space="preserve">  REF _Ref448380615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3.1a)</w:t>
      </w:r>
      <w:r w:rsidRPr="00986BEB">
        <w:rPr>
          <w:u w:val="single"/>
          <w:lang w:val="fr-CA"/>
        </w:rPr>
        <w:fldChar w:fldCharType="end"/>
      </w:r>
      <w:r w:rsidRPr="0059083D">
        <w:rPr>
          <w:lang w:val="fr-CA"/>
        </w:rPr>
        <w:t xml:space="preserve">, </w:t>
      </w:r>
      <w:r w:rsidR="00D22551" w:rsidRPr="0059083D">
        <w:rPr>
          <w:lang w:val="fr-CA"/>
        </w:rPr>
        <w:t>l’</w:t>
      </w:r>
      <w:r w:rsidR="0006561D" w:rsidRPr="0059083D">
        <w:rPr>
          <w:u w:val="single"/>
          <w:lang w:val="fr-CA"/>
        </w:rPr>
        <w:t>alinéa </w:t>
      </w:r>
      <w:r w:rsidRPr="00986BEB">
        <w:rPr>
          <w:u w:val="single"/>
          <w:lang w:val="fr-CA"/>
        </w:rPr>
        <w:fldChar w:fldCharType="begin"/>
      </w:r>
      <w:r w:rsidRPr="00986BEB">
        <w:rPr>
          <w:u w:val="single"/>
          <w:lang w:val="fr-CA"/>
        </w:rPr>
        <w:instrText xml:space="preserve">  REF _Ref448380616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3.1b)</w:t>
      </w:r>
      <w:r w:rsidRPr="00986BEB">
        <w:rPr>
          <w:u w:val="single"/>
          <w:lang w:val="fr-CA"/>
        </w:rPr>
        <w:fldChar w:fldCharType="end"/>
      </w:r>
      <w:r w:rsidRPr="0059083D">
        <w:rPr>
          <w:lang w:val="fr-CA"/>
        </w:rPr>
        <w:t xml:space="preserve"> [</w:t>
      </w:r>
      <w:r w:rsidR="00D22551" w:rsidRPr="0059083D">
        <w:rPr>
          <w:lang w:val="fr-CA"/>
        </w:rPr>
        <w:t>et l’</w:t>
      </w:r>
      <w:r w:rsidR="0006561D" w:rsidRPr="0059083D">
        <w:rPr>
          <w:u w:val="single"/>
          <w:lang w:val="fr-CA"/>
        </w:rPr>
        <w:t>alinéa </w:t>
      </w:r>
      <w:bookmarkStart w:id="261" w:name="DocXTextRef208"/>
      <w:r w:rsidR="00277678">
        <w:rPr>
          <w:u w:val="single"/>
          <w:lang w:val="fr-CA"/>
        </w:rPr>
        <w:t xml:space="preserve"> </w:t>
      </w:r>
      <w:r w:rsidR="00277678" w:rsidRPr="00986BEB">
        <w:rPr>
          <w:u w:val="single"/>
          <w:lang w:val="fr-CA"/>
        </w:rPr>
        <w:fldChar w:fldCharType="begin"/>
      </w:r>
      <w:r w:rsidR="00277678" w:rsidRPr="00986BEB">
        <w:rPr>
          <w:u w:val="single"/>
          <w:lang w:val="fr-CA"/>
        </w:rPr>
        <w:instrText xml:space="preserve"> REF _Ref448380618 \w \h </w:instrText>
      </w:r>
      <w:r w:rsidR="00277678" w:rsidRPr="00986BEB">
        <w:rPr>
          <w:u w:val="single"/>
          <w:lang w:val="fr-CA"/>
        </w:rPr>
      </w:r>
      <w:r w:rsidR="00277678" w:rsidRPr="00986BEB">
        <w:rPr>
          <w:u w:val="single"/>
          <w:lang w:val="fr-CA"/>
        </w:rPr>
        <w:fldChar w:fldCharType="separate"/>
      </w:r>
      <w:r w:rsidR="00AE1D96">
        <w:rPr>
          <w:u w:val="single"/>
          <w:lang w:val="fr-CA"/>
        </w:rPr>
        <w:t>3.1d)</w:t>
      </w:r>
      <w:r w:rsidR="00277678" w:rsidRPr="00986BEB">
        <w:rPr>
          <w:u w:val="single"/>
          <w:lang w:val="fr-CA"/>
        </w:rPr>
        <w:fldChar w:fldCharType="end"/>
      </w:r>
      <w:bookmarkEnd w:id="261"/>
      <w:r w:rsidRPr="0059083D">
        <w:rPr>
          <w:lang w:val="fr-CA"/>
        </w:rPr>
        <w:t xml:space="preserve">], </w:t>
      </w:r>
      <w:r w:rsidR="00D22551" w:rsidRPr="0059083D">
        <w:rPr>
          <w:lang w:val="fr-CA"/>
        </w:rPr>
        <w:t>un instrument signé par le chef des finances</w:t>
      </w:r>
      <w:r w:rsidRPr="0059083D">
        <w:rPr>
          <w:lang w:val="fr-CA"/>
        </w:rPr>
        <w:t xml:space="preserve"> </w:t>
      </w:r>
      <w:r w:rsidR="00D22551" w:rsidRPr="0059083D">
        <w:rPr>
          <w:lang w:val="fr-CA"/>
        </w:rPr>
        <w:t>et le chef de la direction</w:t>
      </w:r>
      <w:r w:rsidRPr="0059083D">
        <w:rPr>
          <w:lang w:val="fr-CA"/>
        </w:rPr>
        <w:t xml:space="preserve"> de la Société </w:t>
      </w:r>
      <w:r w:rsidR="00D22551" w:rsidRPr="0059083D">
        <w:rPr>
          <w:lang w:val="fr-CA"/>
        </w:rPr>
        <w:t xml:space="preserve">certifiant que ces états financiers ont été dressés conformément aux </w:t>
      </w:r>
      <w:r w:rsidR="00F52467" w:rsidRPr="0059083D">
        <w:rPr>
          <w:lang w:val="fr-CA"/>
        </w:rPr>
        <w:t>PCGR</w:t>
      </w:r>
      <w:r w:rsidRPr="0059083D">
        <w:rPr>
          <w:lang w:val="fr-CA"/>
        </w:rPr>
        <w:t xml:space="preserve"> </w:t>
      </w:r>
      <w:r w:rsidR="00D22551" w:rsidRPr="0059083D">
        <w:rPr>
          <w:lang w:val="fr-CA"/>
        </w:rPr>
        <w:t xml:space="preserve">appliqués de </w:t>
      </w:r>
      <w:r w:rsidR="00696D34">
        <w:rPr>
          <w:lang w:val="fr-CA"/>
        </w:rPr>
        <w:t xml:space="preserve">façon cohérente avec les </w:t>
      </w:r>
      <w:r w:rsidR="00D22551" w:rsidRPr="0059083D">
        <w:rPr>
          <w:lang w:val="fr-CA"/>
        </w:rPr>
        <w:t xml:space="preserve">pratiques employées lors des périodes antérieures </w:t>
      </w:r>
      <w:r w:rsidRPr="0059083D">
        <w:rPr>
          <w:lang w:val="fr-CA"/>
        </w:rPr>
        <w:t>(</w:t>
      </w:r>
      <w:r w:rsidR="00D22551" w:rsidRPr="0059083D">
        <w:rPr>
          <w:lang w:val="fr-CA"/>
        </w:rPr>
        <w:t>sauf indication contraire à l’</w:t>
      </w:r>
      <w:r w:rsidR="0006561D" w:rsidRPr="0059083D">
        <w:rPr>
          <w:u w:val="single"/>
          <w:lang w:val="fr-CA"/>
        </w:rPr>
        <w:t>alinéa </w:t>
      </w:r>
      <w:r w:rsidRPr="00986BEB">
        <w:rPr>
          <w:u w:val="single"/>
          <w:lang w:val="fr-CA"/>
        </w:rPr>
        <w:fldChar w:fldCharType="begin"/>
      </w:r>
      <w:r w:rsidRPr="00986BEB">
        <w:rPr>
          <w:u w:val="single"/>
          <w:lang w:val="fr-CA"/>
        </w:rPr>
        <w:instrText xml:space="preserve">  REF _Ref448380616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3.1b)</w:t>
      </w:r>
      <w:r w:rsidRPr="00986BEB">
        <w:rPr>
          <w:u w:val="single"/>
          <w:lang w:val="fr-CA"/>
        </w:rPr>
        <w:fldChar w:fldCharType="end"/>
      </w:r>
      <w:r w:rsidRPr="0059083D">
        <w:rPr>
          <w:lang w:val="fr-CA"/>
        </w:rPr>
        <w:t xml:space="preserve"> [</w:t>
      </w:r>
      <w:r w:rsidR="00D22551" w:rsidRPr="0059083D">
        <w:rPr>
          <w:lang w:val="fr-CA"/>
        </w:rPr>
        <w:t>et à l’</w:t>
      </w:r>
      <w:r w:rsidR="0006561D" w:rsidRPr="0059083D">
        <w:rPr>
          <w:u w:val="single"/>
          <w:lang w:val="fr-CA"/>
        </w:rPr>
        <w:t>alinéa </w:t>
      </w:r>
      <w:bookmarkStart w:id="262" w:name="DocXTextRef210"/>
      <w:r w:rsidR="00277678" w:rsidRPr="00986BEB">
        <w:rPr>
          <w:u w:val="single"/>
          <w:lang w:val="fr-CA"/>
        </w:rPr>
        <w:fldChar w:fldCharType="begin"/>
      </w:r>
      <w:r w:rsidR="00277678" w:rsidRPr="00986BEB">
        <w:rPr>
          <w:u w:val="single"/>
          <w:lang w:val="fr-CA"/>
        </w:rPr>
        <w:instrText xml:space="preserve"> REF _Ref448380618 \w \h </w:instrText>
      </w:r>
      <w:r w:rsidR="00277678" w:rsidRPr="00986BEB">
        <w:rPr>
          <w:u w:val="single"/>
          <w:lang w:val="fr-CA"/>
        </w:rPr>
      </w:r>
      <w:r w:rsidR="00277678" w:rsidRPr="00986BEB">
        <w:rPr>
          <w:u w:val="single"/>
          <w:lang w:val="fr-CA"/>
        </w:rPr>
        <w:fldChar w:fldCharType="separate"/>
      </w:r>
      <w:r w:rsidR="00AE1D96">
        <w:rPr>
          <w:u w:val="single"/>
          <w:lang w:val="fr-CA"/>
        </w:rPr>
        <w:t>3.1d)</w:t>
      </w:r>
      <w:r w:rsidR="00277678" w:rsidRPr="00986BEB">
        <w:rPr>
          <w:u w:val="single"/>
          <w:lang w:val="fr-CA"/>
        </w:rPr>
        <w:fldChar w:fldCharType="end"/>
      </w:r>
      <w:bookmarkEnd w:id="262"/>
      <w:r w:rsidRPr="0059083D">
        <w:rPr>
          <w:lang w:val="fr-CA"/>
        </w:rPr>
        <w:t xml:space="preserve">]) </w:t>
      </w:r>
      <w:r w:rsidR="00D22551" w:rsidRPr="0059083D">
        <w:rPr>
          <w:lang w:val="fr-CA"/>
        </w:rPr>
        <w:t xml:space="preserve">et présentent </w:t>
      </w:r>
      <w:r w:rsidR="00696D34">
        <w:rPr>
          <w:lang w:val="fr-CA"/>
        </w:rPr>
        <w:t xml:space="preserve">une image fidèle de </w:t>
      </w:r>
      <w:r w:rsidR="00D22551" w:rsidRPr="0059083D">
        <w:rPr>
          <w:lang w:val="fr-CA"/>
        </w:rPr>
        <w:t xml:space="preserve">la situation financière </w:t>
      </w:r>
      <w:r w:rsidRPr="0059083D">
        <w:rPr>
          <w:lang w:val="fr-CA"/>
        </w:rPr>
        <w:t xml:space="preserve">de la Société </w:t>
      </w:r>
      <w:r w:rsidR="00D22551" w:rsidRPr="0059083D">
        <w:rPr>
          <w:lang w:val="fr-CA"/>
        </w:rPr>
        <w:t xml:space="preserve">et </w:t>
      </w:r>
      <w:r w:rsidR="00696D34">
        <w:rPr>
          <w:lang w:val="fr-CA"/>
        </w:rPr>
        <w:t xml:space="preserve">de </w:t>
      </w:r>
      <w:r w:rsidR="00D22551" w:rsidRPr="0059083D">
        <w:rPr>
          <w:lang w:val="fr-CA"/>
        </w:rPr>
        <w:t>ses résultats d’exploitation pour les périodes indiquées dans ceux-ci</w:t>
      </w:r>
      <w:r w:rsidRPr="0059083D">
        <w:rPr>
          <w:lang w:val="fr-CA"/>
        </w:rPr>
        <w:t>;]</w:t>
      </w:r>
      <w:bookmarkEnd w:id="260"/>
    </w:p>
    <w:p w14:paraId="3442C3AB" w14:textId="27809611" w:rsidR="00037C7E" w:rsidRPr="00986BEB" w:rsidRDefault="000B08F2">
      <w:pPr>
        <w:pStyle w:val="StandardL3"/>
        <w:rPr>
          <w:lang w:val="fr-CA"/>
        </w:rPr>
      </w:pPr>
      <w:bookmarkStart w:id="263" w:name="_Ref448380621"/>
      <w:r w:rsidRPr="009D4254">
        <w:rPr>
          <w:lang w:val="fr-CA"/>
        </w:rPr>
        <w:t>[</w:t>
      </w:r>
      <w:r w:rsidR="00D22551" w:rsidRPr="009D4254">
        <w:rPr>
          <w:lang w:val="fr-CA"/>
        </w:rPr>
        <w:t>les autres renseignements</w:t>
      </w:r>
      <w:bookmarkStart w:id="264" w:name="_Ref448380710"/>
      <w:r w:rsidRPr="00986BEB">
        <w:rPr>
          <w:rStyle w:val="FootnoteReference"/>
          <w:lang w:val="fr-CA"/>
        </w:rPr>
        <w:footnoteReference w:id="41"/>
      </w:r>
      <w:bookmarkEnd w:id="264"/>
      <w:r w:rsidRPr="009D4254">
        <w:rPr>
          <w:lang w:val="fr-CA"/>
        </w:rPr>
        <w:t xml:space="preserve"> </w:t>
      </w:r>
      <w:r w:rsidR="00D22551" w:rsidRPr="009D4254">
        <w:rPr>
          <w:lang w:val="fr-CA"/>
        </w:rPr>
        <w:t xml:space="preserve">concernant la situation financière, l’entreprise, les perspectives ou les affaires générales de </w:t>
      </w:r>
      <w:r w:rsidRPr="009D4254">
        <w:rPr>
          <w:lang w:val="fr-CA"/>
        </w:rPr>
        <w:t xml:space="preserve">la Société </w:t>
      </w:r>
      <w:r w:rsidR="00D22551" w:rsidRPr="009D4254">
        <w:rPr>
          <w:lang w:val="fr-CA"/>
        </w:rPr>
        <w:t xml:space="preserve">qu’un </w:t>
      </w:r>
      <w:r w:rsidR="006C7CDF" w:rsidRPr="009D4254">
        <w:rPr>
          <w:lang w:val="fr-CA"/>
        </w:rPr>
        <w:t>Investisseur important</w:t>
      </w:r>
      <w:r w:rsidRPr="009D4254">
        <w:rPr>
          <w:lang w:val="fr-CA"/>
        </w:rPr>
        <w:t xml:space="preserve"> </w:t>
      </w:r>
      <w:r w:rsidR="00D22551" w:rsidRPr="009D4254">
        <w:rPr>
          <w:lang w:val="fr-CA"/>
        </w:rPr>
        <w:t xml:space="preserve">peut demander </w:t>
      </w:r>
      <w:r w:rsidR="007C4E71" w:rsidRPr="009D4254">
        <w:rPr>
          <w:lang w:val="fr-CA"/>
        </w:rPr>
        <w:t>raisonnablement</w:t>
      </w:r>
      <w:r w:rsidRPr="009D4254">
        <w:rPr>
          <w:lang w:val="fr-CA"/>
        </w:rPr>
        <w:t xml:space="preserve"> </w:t>
      </w:r>
      <w:r w:rsidR="00D22551" w:rsidRPr="009D4254">
        <w:rPr>
          <w:lang w:val="fr-CA"/>
        </w:rPr>
        <w:t>à l’occasion</w:t>
      </w:r>
      <w:r w:rsidRPr="009D4254">
        <w:rPr>
          <w:lang w:val="fr-CA"/>
        </w:rPr>
        <w:t xml:space="preserve">; </w:t>
      </w:r>
      <w:r w:rsidR="00D22551" w:rsidRPr="009D4254">
        <w:rPr>
          <w:u w:val="single"/>
          <w:lang w:val="fr-CA"/>
        </w:rPr>
        <w:t>il est entendu</w:t>
      </w:r>
      <w:r w:rsidRPr="009D4254">
        <w:rPr>
          <w:lang w:val="fr-CA"/>
        </w:rPr>
        <w:t xml:space="preserve">, </w:t>
      </w:r>
      <w:r w:rsidR="00D22551" w:rsidRPr="009D4254">
        <w:rPr>
          <w:u w:val="single"/>
          <w:lang w:val="fr-CA"/>
        </w:rPr>
        <w:t>toutefois</w:t>
      </w:r>
      <w:r w:rsidRPr="009D4254">
        <w:rPr>
          <w:lang w:val="fr-CA"/>
        </w:rPr>
        <w:t xml:space="preserve">, </w:t>
      </w:r>
      <w:r w:rsidR="00D22551" w:rsidRPr="009D4254">
        <w:rPr>
          <w:lang w:val="fr-CA"/>
        </w:rPr>
        <w:t xml:space="preserve">que </w:t>
      </w:r>
      <w:r w:rsidRPr="009D4254">
        <w:rPr>
          <w:lang w:val="fr-CA"/>
        </w:rPr>
        <w:t xml:space="preserve">la Société </w:t>
      </w:r>
      <w:r w:rsidR="00D22551" w:rsidRPr="009D4254">
        <w:rPr>
          <w:lang w:val="fr-CA"/>
        </w:rPr>
        <w:t xml:space="preserve">n’est pas tenue aux termes du présent </w:t>
      </w:r>
      <w:r w:rsidR="002A0F83" w:rsidRPr="009D4254">
        <w:rPr>
          <w:u w:val="single"/>
          <w:lang w:val="fr-CA"/>
        </w:rPr>
        <w:t>paragraphe </w:t>
      </w:r>
      <w:r w:rsidR="00696D34" w:rsidRPr="00986BEB">
        <w:rPr>
          <w:u w:val="single"/>
          <w:lang w:val="fr-CA"/>
        </w:rPr>
        <w:fldChar w:fldCharType="begin"/>
      </w:r>
      <w:r w:rsidR="00696D34" w:rsidRPr="00986BEB">
        <w:rPr>
          <w:u w:val="single"/>
          <w:lang w:val="fr-CA"/>
        </w:rPr>
        <w:instrText xml:space="preserve"> REF _Ref119587812 \w \h </w:instrText>
      </w:r>
      <w:r w:rsidR="00696D34" w:rsidRPr="00986BEB">
        <w:rPr>
          <w:u w:val="single"/>
          <w:lang w:val="fr-CA"/>
        </w:rPr>
      </w:r>
      <w:r w:rsidR="00696D34" w:rsidRPr="00986BEB">
        <w:rPr>
          <w:u w:val="single"/>
          <w:lang w:val="fr-CA"/>
        </w:rPr>
        <w:fldChar w:fldCharType="separate"/>
      </w:r>
      <w:r w:rsidR="00AE1D96">
        <w:rPr>
          <w:u w:val="single"/>
          <w:lang w:val="fr-CA"/>
        </w:rPr>
        <w:t>3.1</w:t>
      </w:r>
      <w:r w:rsidR="00696D34" w:rsidRPr="00986BEB">
        <w:rPr>
          <w:u w:val="single"/>
          <w:lang w:val="fr-CA"/>
        </w:rPr>
        <w:fldChar w:fldCharType="end"/>
      </w:r>
      <w:r w:rsidRPr="009D4254">
        <w:rPr>
          <w:lang w:val="fr-CA"/>
        </w:rPr>
        <w:t xml:space="preserve"> </w:t>
      </w:r>
      <w:r w:rsidR="00D22551" w:rsidRPr="009D4254">
        <w:rPr>
          <w:lang w:val="fr-CA"/>
        </w:rPr>
        <w:t xml:space="preserve">de fournir des renseignements </w:t>
      </w:r>
      <w:bookmarkStart w:id="265" w:name="DocXTextRef212"/>
      <w:r w:rsidRPr="009D4254">
        <w:rPr>
          <w:lang w:val="fr-CA"/>
        </w:rPr>
        <w:t>(</w:t>
      </w:r>
      <w:r w:rsidRPr="00986BEB">
        <w:rPr>
          <w:lang w:val="fr-CA"/>
        </w:rPr>
        <w:t>i</w:t>
      </w:r>
      <w:r w:rsidRPr="009D4254">
        <w:rPr>
          <w:lang w:val="fr-CA"/>
        </w:rPr>
        <w:t>)</w:t>
      </w:r>
      <w:bookmarkEnd w:id="265"/>
      <w:r w:rsidR="00D22551" w:rsidRPr="009D4254">
        <w:rPr>
          <w:lang w:val="fr-CA"/>
        </w:rPr>
        <w:t xml:space="preserve"> qu’elle considère raisonnablement, de bonne foi, comme des secrets commerciaux ou des renseignements confidentiels </w:t>
      </w:r>
      <w:r w:rsidRPr="009D4254">
        <w:rPr>
          <w:lang w:val="fr-CA"/>
        </w:rPr>
        <w:t>(</w:t>
      </w:r>
      <w:r w:rsidR="00D22551" w:rsidRPr="009D4254">
        <w:rPr>
          <w:lang w:val="fr-CA"/>
        </w:rPr>
        <w:t>à moins qu’ils ne soient visés par une entente de confidentialité exécutoire dont elle juge la forme acceptable</w:t>
      </w:r>
      <w:r w:rsidRPr="009D4254">
        <w:rPr>
          <w:lang w:val="fr-CA"/>
        </w:rPr>
        <w:t xml:space="preserve">); </w:t>
      </w:r>
      <w:r w:rsidR="00D22551" w:rsidRPr="009D4254">
        <w:rPr>
          <w:lang w:val="fr-CA"/>
        </w:rPr>
        <w:t xml:space="preserve">ou </w:t>
      </w:r>
      <w:bookmarkStart w:id="266" w:name="DocXTextRef213"/>
      <w:r w:rsidRPr="009D4254">
        <w:rPr>
          <w:lang w:val="fr-CA"/>
        </w:rPr>
        <w:t>(</w:t>
      </w:r>
      <w:r w:rsidRPr="00986BEB">
        <w:rPr>
          <w:lang w:val="fr-CA"/>
        </w:rPr>
        <w:t>ii</w:t>
      </w:r>
      <w:r w:rsidRPr="009D4254">
        <w:rPr>
          <w:lang w:val="fr-CA"/>
        </w:rPr>
        <w:t>)</w:t>
      </w:r>
      <w:bookmarkEnd w:id="266"/>
      <w:r w:rsidR="00D22551" w:rsidRPr="009D4254">
        <w:rPr>
          <w:lang w:val="fr-CA"/>
        </w:rPr>
        <w:t xml:space="preserve"> dont la communication porterait atteinte au privilège du secret professionnel entre </w:t>
      </w:r>
      <w:r w:rsidRPr="009D4254">
        <w:rPr>
          <w:lang w:val="fr-CA"/>
        </w:rPr>
        <w:t xml:space="preserve">la Société </w:t>
      </w:r>
      <w:r w:rsidR="00D22551" w:rsidRPr="009D4254">
        <w:rPr>
          <w:lang w:val="fr-CA"/>
        </w:rPr>
        <w:t>et son conseiller juridique</w:t>
      </w:r>
      <w:r w:rsidRPr="009D4254">
        <w:rPr>
          <w:lang w:val="fr-CA"/>
        </w:rPr>
        <w:t>.]</w:t>
      </w:r>
      <w:bookmarkEnd w:id="263"/>
    </w:p>
    <w:p w14:paraId="00593BAF" w14:textId="112C121D" w:rsidR="00037C7E" w:rsidRPr="009D4254" w:rsidRDefault="00D22551">
      <w:pPr>
        <w:pStyle w:val="StandardCont2"/>
        <w:rPr>
          <w:lang w:val="fr-CA"/>
        </w:rPr>
      </w:pPr>
      <w:r w:rsidRPr="009D4254">
        <w:rPr>
          <w:lang w:val="fr-CA"/>
        </w:rPr>
        <w:t xml:space="preserve">Si, pour une période donnée, </w:t>
      </w:r>
      <w:r w:rsidR="000B08F2" w:rsidRPr="009D4254">
        <w:rPr>
          <w:lang w:val="fr-CA"/>
        </w:rPr>
        <w:t xml:space="preserve">la Société </w:t>
      </w:r>
      <w:r w:rsidRPr="009D4254">
        <w:rPr>
          <w:lang w:val="fr-CA"/>
        </w:rPr>
        <w:t>a une filiale dont les comptes sont consolidés avec les siens</w:t>
      </w:r>
      <w:r w:rsidR="000B08F2" w:rsidRPr="009D4254">
        <w:rPr>
          <w:lang w:val="fr-CA"/>
        </w:rPr>
        <w:t xml:space="preserve">, </w:t>
      </w:r>
      <w:r w:rsidRPr="009D4254">
        <w:rPr>
          <w:lang w:val="fr-CA"/>
        </w:rPr>
        <w:t xml:space="preserve">alors, pour cette période, les états financiers fournis conformément aux dispositions précédentes seront les états financiers consolidés et de consolidation </w:t>
      </w:r>
      <w:r w:rsidR="000B08F2" w:rsidRPr="009D4254">
        <w:rPr>
          <w:lang w:val="fr-CA"/>
        </w:rPr>
        <w:t xml:space="preserve">de la Société </w:t>
      </w:r>
      <w:r w:rsidRPr="009D4254">
        <w:rPr>
          <w:lang w:val="fr-CA"/>
        </w:rPr>
        <w:t>et de toutes ces filiales consolidées</w:t>
      </w:r>
      <w:r w:rsidR="000B08F2" w:rsidRPr="009D4254">
        <w:rPr>
          <w:lang w:val="fr-CA"/>
        </w:rPr>
        <w:t>.</w:t>
      </w:r>
    </w:p>
    <w:p w14:paraId="7A5363C4" w14:textId="49C42C51" w:rsidR="00037C7E" w:rsidRPr="0059083D" w:rsidRDefault="00D22551">
      <w:pPr>
        <w:pStyle w:val="StandardCont2"/>
        <w:rPr>
          <w:lang w:val="fr-CA"/>
        </w:rPr>
      </w:pPr>
      <w:r w:rsidRPr="009D4254">
        <w:rPr>
          <w:lang w:val="fr-CA"/>
        </w:rPr>
        <w:t xml:space="preserve">Malgré toute disposition contraire du présent </w:t>
      </w:r>
      <w:r w:rsidR="002A0F83" w:rsidRPr="009D4254">
        <w:rPr>
          <w:u w:val="single"/>
          <w:lang w:val="fr-CA"/>
        </w:rPr>
        <w:t>paragraphe </w:t>
      </w:r>
      <w:r w:rsidR="00C5219E" w:rsidRPr="00986BEB">
        <w:rPr>
          <w:u w:val="single"/>
          <w:lang w:val="fr-CA"/>
        </w:rPr>
        <w:fldChar w:fldCharType="begin"/>
      </w:r>
      <w:r w:rsidR="00C5219E" w:rsidRPr="00986BEB">
        <w:rPr>
          <w:u w:val="single"/>
          <w:lang w:val="fr-CA"/>
        </w:rPr>
        <w:instrText xml:space="preserve"> REF _Ref119587812 \w \h </w:instrText>
      </w:r>
      <w:r w:rsidR="00C5219E" w:rsidRPr="00986BEB">
        <w:rPr>
          <w:u w:val="single"/>
          <w:lang w:val="fr-CA"/>
        </w:rPr>
      </w:r>
      <w:r w:rsidR="00C5219E" w:rsidRPr="00986BEB">
        <w:rPr>
          <w:u w:val="single"/>
          <w:lang w:val="fr-CA"/>
        </w:rPr>
        <w:fldChar w:fldCharType="separate"/>
      </w:r>
      <w:r w:rsidR="00AE1D96">
        <w:rPr>
          <w:u w:val="single"/>
          <w:lang w:val="fr-CA"/>
        </w:rPr>
        <w:t>3.1</w:t>
      </w:r>
      <w:r w:rsidR="00C5219E" w:rsidRPr="00986BEB">
        <w:rPr>
          <w:u w:val="single"/>
          <w:lang w:val="fr-CA"/>
        </w:rPr>
        <w:fldChar w:fldCharType="end"/>
      </w:r>
      <w:r w:rsidR="000B08F2" w:rsidRPr="009D4254">
        <w:rPr>
          <w:lang w:val="fr-CA"/>
        </w:rPr>
        <w:t xml:space="preserve">, la Société </w:t>
      </w:r>
      <w:r w:rsidRPr="009D4254">
        <w:rPr>
          <w:lang w:val="fr-CA"/>
        </w:rPr>
        <w:t xml:space="preserve">peut cesser de fournir les renseignements indiqués au présent </w:t>
      </w:r>
      <w:r w:rsidR="002A0F83" w:rsidRPr="009D4254">
        <w:rPr>
          <w:u w:val="single"/>
          <w:lang w:val="fr-CA"/>
        </w:rPr>
        <w:t>paragraphe </w:t>
      </w:r>
      <w:r w:rsidR="00C5219E" w:rsidRPr="00986BEB">
        <w:rPr>
          <w:u w:val="single"/>
          <w:lang w:val="fr-CA"/>
        </w:rPr>
        <w:fldChar w:fldCharType="begin"/>
      </w:r>
      <w:r w:rsidR="00C5219E" w:rsidRPr="00986BEB">
        <w:rPr>
          <w:u w:val="single"/>
          <w:lang w:val="fr-CA"/>
        </w:rPr>
        <w:instrText xml:space="preserve"> REF _Ref119587812 \w \h </w:instrText>
      </w:r>
      <w:r w:rsidR="00C5219E" w:rsidRPr="00986BEB">
        <w:rPr>
          <w:u w:val="single"/>
          <w:lang w:val="fr-CA"/>
        </w:rPr>
      </w:r>
      <w:r w:rsidR="00C5219E" w:rsidRPr="00986BEB">
        <w:rPr>
          <w:u w:val="single"/>
          <w:lang w:val="fr-CA"/>
        </w:rPr>
        <w:fldChar w:fldCharType="separate"/>
      </w:r>
      <w:r w:rsidR="00AE1D96">
        <w:rPr>
          <w:u w:val="single"/>
          <w:lang w:val="fr-CA"/>
        </w:rPr>
        <w:t>3.1</w:t>
      </w:r>
      <w:r w:rsidR="00C5219E" w:rsidRPr="00986BEB">
        <w:rPr>
          <w:u w:val="single"/>
          <w:lang w:val="fr-CA"/>
        </w:rPr>
        <w:fldChar w:fldCharType="end"/>
      </w:r>
      <w:r w:rsidR="000B08F2" w:rsidRPr="009D4254">
        <w:rPr>
          <w:lang w:val="fr-CA"/>
        </w:rPr>
        <w:t xml:space="preserve"> </w:t>
      </w:r>
      <w:r w:rsidRPr="009D4254">
        <w:rPr>
          <w:lang w:val="fr-CA"/>
        </w:rPr>
        <w:t xml:space="preserve">pendant la période </w:t>
      </w:r>
      <w:r w:rsidR="00C81D5B">
        <w:rPr>
          <w:lang w:val="fr-CA"/>
        </w:rPr>
        <w:t xml:space="preserve">de </w:t>
      </w:r>
      <w:r w:rsidR="000B08F2" w:rsidRPr="009D4254">
        <w:rPr>
          <w:lang w:val="fr-CA"/>
        </w:rPr>
        <w:t>[</w:t>
      </w:r>
      <w:r w:rsidRPr="009D4254">
        <w:rPr>
          <w:lang w:val="fr-CA"/>
        </w:rPr>
        <w:t>trent</w:t>
      </w:r>
      <w:r w:rsidR="00C81D5B">
        <w:rPr>
          <w:lang w:val="fr-CA"/>
        </w:rPr>
        <w:t>e</w:t>
      </w:r>
      <w:r w:rsidRPr="009D4254">
        <w:rPr>
          <w:lang w:val="fr-CA"/>
        </w:rPr>
        <w:t xml:space="preserve"> </w:t>
      </w:r>
      <w:r w:rsidR="000B08F2" w:rsidRPr="009D4254">
        <w:rPr>
          <w:lang w:val="fr-CA"/>
        </w:rPr>
        <w:t>(</w:t>
      </w:r>
      <w:r w:rsidR="000B08F2" w:rsidRPr="00986BEB">
        <w:rPr>
          <w:lang w:val="fr-CA"/>
        </w:rPr>
        <w:t>30</w:t>
      </w:r>
      <w:r w:rsidR="000B08F2" w:rsidRPr="009D4254">
        <w:rPr>
          <w:lang w:val="fr-CA"/>
        </w:rPr>
        <w:t xml:space="preserve">) </w:t>
      </w:r>
      <w:r w:rsidR="00A47962">
        <w:rPr>
          <w:lang w:val="fr-CA"/>
        </w:rPr>
        <w:t>-</w:t>
      </w:r>
      <w:r w:rsidR="000B08F2" w:rsidRPr="009D4254">
        <w:rPr>
          <w:lang w:val="fr-CA"/>
        </w:rPr>
        <w:t xml:space="preserve"> </w:t>
      </w:r>
      <w:r w:rsidRPr="009D4254">
        <w:rPr>
          <w:lang w:val="fr-CA"/>
        </w:rPr>
        <w:t>soixant</w:t>
      </w:r>
      <w:r w:rsidR="00C81D5B">
        <w:rPr>
          <w:lang w:val="fr-CA"/>
        </w:rPr>
        <w:t>e</w:t>
      </w:r>
      <w:r w:rsidRPr="009D4254">
        <w:rPr>
          <w:lang w:val="fr-CA"/>
        </w:rPr>
        <w:t xml:space="preserve"> </w:t>
      </w:r>
      <w:r w:rsidR="000B08F2" w:rsidRPr="009D4254">
        <w:rPr>
          <w:lang w:val="fr-CA"/>
        </w:rPr>
        <w:t>(</w:t>
      </w:r>
      <w:r w:rsidR="000B08F2" w:rsidRPr="00986BEB">
        <w:rPr>
          <w:lang w:val="fr-CA"/>
        </w:rPr>
        <w:t>60</w:t>
      </w:r>
      <w:r w:rsidR="000B08F2" w:rsidRPr="009D4254">
        <w:rPr>
          <w:lang w:val="fr-CA"/>
        </w:rPr>
        <w:t>)]</w:t>
      </w:r>
      <w:r w:rsidR="00C5219E">
        <w:rPr>
          <w:lang w:val="fr-CA"/>
        </w:rPr>
        <w:t> </w:t>
      </w:r>
      <w:r w:rsidRPr="009D4254">
        <w:rPr>
          <w:lang w:val="fr-CA"/>
        </w:rPr>
        <w:t>jour</w:t>
      </w:r>
      <w:r w:rsidR="00C81D5B">
        <w:rPr>
          <w:lang w:val="fr-CA"/>
        </w:rPr>
        <w:t xml:space="preserve">s précédant </w:t>
      </w:r>
      <w:r w:rsidRPr="009D4254">
        <w:rPr>
          <w:lang w:val="fr-CA"/>
        </w:rPr>
        <w:t xml:space="preserve">la date de dépôt d’une </w:t>
      </w:r>
      <w:r w:rsidR="002A0F83" w:rsidRPr="009D4254">
        <w:rPr>
          <w:lang w:val="fr-CA"/>
        </w:rPr>
        <w:t>déclaration d’inscription</w:t>
      </w:r>
      <w:r w:rsidR="000B08F2" w:rsidRPr="009D4254">
        <w:rPr>
          <w:lang w:val="fr-CA"/>
        </w:rPr>
        <w:t xml:space="preserve"> </w:t>
      </w:r>
      <w:r w:rsidRPr="009D4254">
        <w:rPr>
          <w:lang w:val="fr-CA"/>
        </w:rPr>
        <w:t xml:space="preserve">estimée de bonne foi par la Société si </w:t>
      </w:r>
      <w:r w:rsidR="00C81D5B">
        <w:rPr>
          <w:lang w:val="fr-CA"/>
        </w:rPr>
        <w:t>cette dernière</w:t>
      </w:r>
      <w:r w:rsidRPr="009D4254">
        <w:rPr>
          <w:lang w:val="fr-CA"/>
        </w:rPr>
        <w:t xml:space="preserve"> conclut </w:t>
      </w:r>
      <w:r w:rsidR="007C4E71" w:rsidRPr="009D4254">
        <w:rPr>
          <w:lang w:val="fr-CA"/>
        </w:rPr>
        <w:t>raisonnablement</w:t>
      </w:r>
      <w:r w:rsidR="000B08F2" w:rsidRPr="009D4254">
        <w:rPr>
          <w:lang w:val="fr-CA"/>
        </w:rPr>
        <w:t xml:space="preserve"> </w:t>
      </w:r>
      <w:r w:rsidRPr="009D4254">
        <w:rPr>
          <w:lang w:val="fr-CA"/>
        </w:rPr>
        <w:t xml:space="preserve">qu’elle doit cesser de fournir ces renseignements pour se conformer aux règles de la </w:t>
      </w:r>
      <w:r w:rsidR="000B08F2" w:rsidRPr="009D4254">
        <w:rPr>
          <w:lang w:val="fr-CA"/>
        </w:rPr>
        <w:t xml:space="preserve">SEC </w:t>
      </w:r>
      <w:r w:rsidRPr="009D4254">
        <w:rPr>
          <w:lang w:val="fr-CA"/>
        </w:rPr>
        <w:t xml:space="preserve">ou aux </w:t>
      </w:r>
      <w:r w:rsidR="0006561D" w:rsidRPr="009D4254">
        <w:rPr>
          <w:lang w:val="fr-CA"/>
        </w:rPr>
        <w:t>Lois sur les valeurs mobilières canadiennes</w:t>
      </w:r>
      <w:r w:rsidR="000B08F2" w:rsidRPr="009D4254">
        <w:rPr>
          <w:lang w:val="fr-CA"/>
        </w:rPr>
        <w:t xml:space="preserve"> applicable</w:t>
      </w:r>
      <w:r w:rsidRPr="009D4254">
        <w:rPr>
          <w:lang w:val="fr-CA"/>
        </w:rPr>
        <w:t>s</w:t>
      </w:r>
      <w:r w:rsidR="000B08F2" w:rsidRPr="009D4254">
        <w:rPr>
          <w:lang w:val="fr-CA"/>
        </w:rPr>
        <w:t xml:space="preserve"> </w:t>
      </w:r>
      <w:r w:rsidRPr="009D4254">
        <w:rPr>
          <w:lang w:val="fr-CA"/>
        </w:rPr>
        <w:t xml:space="preserve">à cette </w:t>
      </w:r>
      <w:r w:rsidR="002A0F83" w:rsidRPr="009D4254">
        <w:rPr>
          <w:lang w:val="fr-CA"/>
        </w:rPr>
        <w:t>déclaration d’inscription</w:t>
      </w:r>
      <w:r w:rsidR="000B08F2" w:rsidRPr="009D4254">
        <w:rPr>
          <w:lang w:val="fr-CA"/>
        </w:rPr>
        <w:t xml:space="preserve"> </w:t>
      </w:r>
      <w:r w:rsidRPr="009D4254">
        <w:rPr>
          <w:lang w:val="fr-CA"/>
        </w:rPr>
        <w:t>et au placement connexe</w:t>
      </w:r>
      <w:r w:rsidR="000B08F2" w:rsidRPr="009D4254">
        <w:rPr>
          <w:lang w:val="fr-CA"/>
        </w:rPr>
        <w:t xml:space="preserve">; </w:t>
      </w:r>
      <w:r w:rsidRPr="009D4254">
        <w:rPr>
          <w:lang w:val="fr-CA"/>
        </w:rPr>
        <w:t xml:space="preserve">toutefois, les </w:t>
      </w:r>
      <w:r w:rsidR="00C5219E">
        <w:rPr>
          <w:lang w:val="fr-CA"/>
        </w:rPr>
        <w:t>engagements</w:t>
      </w:r>
      <w:r w:rsidRPr="009D4254">
        <w:rPr>
          <w:lang w:val="fr-CA"/>
        </w:rPr>
        <w:t xml:space="preserve"> de </w:t>
      </w:r>
      <w:r w:rsidR="000B08F2" w:rsidRPr="009D4254">
        <w:rPr>
          <w:lang w:val="fr-CA"/>
        </w:rPr>
        <w:t>la Société</w:t>
      </w:r>
      <w:r w:rsidRPr="009D4254">
        <w:rPr>
          <w:lang w:val="fr-CA"/>
        </w:rPr>
        <w:t xml:space="preserve"> prévus au présent </w:t>
      </w:r>
      <w:r w:rsidR="002A0F83" w:rsidRPr="009D4254">
        <w:rPr>
          <w:u w:val="single"/>
          <w:lang w:val="fr-CA"/>
        </w:rPr>
        <w:t>paragraphe </w:t>
      </w:r>
      <w:r w:rsidR="00C5219E" w:rsidRPr="00986BEB">
        <w:rPr>
          <w:u w:val="single"/>
          <w:lang w:val="fr-CA"/>
        </w:rPr>
        <w:fldChar w:fldCharType="begin"/>
      </w:r>
      <w:r w:rsidR="00C5219E" w:rsidRPr="00986BEB">
        <w:rPr>
          <w:u w:val="single"/>
          <w:lang w:val="fr-CA"/>
        </w:rPr>
        <w:instrText xml:space="preserve"> REF _Ref119587812 \w \h </w:instrText>
      </w:r>
      <w:r w:rsidR="00C5219E" w:rsidRPr="00986BEB">
        <w:rPr>
          <w:u w:val="single"/>
          <w:lang w:val="fr-CA"/>
        </w:rPr>
      </w:r>
      <w:r w:rsidR="00C5219E" w:rsidRPr="00986BEB">
        <w:rPr>
          <w:u w:val="single"/>
          <w:lang w:val="fr-CA"/>
        </w:rPr>
        <w:fldChar w:fldCharType="separate"/>
      </w:r>
      <w:r w:rsidR="00AE1D96">
        <w:rPr>
          <w:u w:val="single"/>
          <w:lang w:val="fr-CA"/>
        </w:rPr>
        <w:t>3.1</w:t>
      </w:r>
      <w:r w:rsidR="00C5219E" w:rsidRPr="00986BEB">
        <w:rPr>
          <w:u w:val="single"/>
          <w:lang w:val="fr-CA"/>
        </w:rPr>
        <w:fldChar w:fldCharType="end"/>
      </w:r>
      <w:r w:rsidR="000B08F2" w:rsidRPr="009D4254">
        <w:rPr>
          <w:lang w:val="fr-CA"/>
        </w:rPr>
        <w:t xml:space="preserve"> </w:t>
      </w:r>
      <w:r w:rsidRPr="009D4254">
        <w:rPr>
          <w:lang w:val="fr-CA"/>
        </w:rPr>
        <w:t xml:space="preserve">reprennent effet au moment où </w:t>
      </w:r>
      <w:r w:rsidR="000B08F2" w:rsidRPr="009D4254">
        <w:rPr>
          <w:lang w:val="fr-CA"/>
        </w:rPr>
        <w:t xml:space="preserve">la Société </w:t>
      </w:r>
      <w:r w:rsidRPr="009D4254">
        <w:rPr>
          <w:lang w:val="fr-CA"/>
        </w:rPr>
        <w:t>ne déploie plus activement d’</w:t>
      </w:r>
      <w:r w:rsidR="000F37C7" w:rsidRPr="009D4254">
        <w:rPr>
          <w:lang w:val="fr-CA"/>
        </w:rPr>
        <w:t>efforts raisonnables sur le plan commercial</w:t>
      </w:r>
      <w:r w:rsidR="000B08F2" w:rsidRPr="009D4254">
        <w:rPr>
          <w:lang w:val="fr-CA"/>
        </w:rPr>
        <w:t xml:space="preserve"> </w:t>
      </w:r>
      <w:r w:rsidRPr="009D4254">
        <w:rPr>
          <w:lang w:val="fr-CA"/>
        </w:rPr>
        <w:t xml:space="preserve">pour que cette </w:t>
      </w:r>
      <w:r w:rsidR="002A0F83" w:rsidRPr="009D4254">
        <w:rPr>
          <w:lang w:val="fr-CA"/>
        </w:rPr>
        <w:t>déclaration d’inscription</w:t>
      </w:r>
      <w:r w:rsidR="000B08F2" w:rsidRPr="009D4254">
        <w:rPr>
          <w:lang w:val="fr-CA"/>
        </w:rPr>
        <w:t xml:space="preserve"> </w:t>
      </w:r>
      <w:r w:rsidRPr="009D4254">
        <w:rPr>
          <w:lang w:val="fr-CA"/>
        </w:rPr>
        <w:t>entre en vigueur</w:t>
      </w:r>
      <w:r w:rsidR="000B08F2" w:rsidRPr="009D4254">
        <w:rPr>
          <w:lang w:val="fr-CA"/>
        </w:rPr>
        <w:t>.</w:t>
      </w:r>
    </w:p>
    <w:p w14:paraId="6C274313" w14:textId="03414863" w:rsidR="00037C7E" w:rsidRPr="00986BEB" w:rsidRDefault="000B08F2">
      <w:pPr>
        <w:pStyle w:val="StandardL2"/>
        <w:rPr>
          <w:lang w:val="fr-CA"/>
        </w:rPr>
      </w:pPr>
      <w:bookmarkStart w:id="267" w:name="_Ref448380622"/>
      <w:bookmarkStart w:id="268" w:name="_Toc132874735"/>
      <w:r w:rsidRPr="009D4254">
        <w:rPr>
          <w:lang w:val="fr-CA"/>
        </w:rPr>
        <w:t>Inspection</w:t>
      </w:r>
      <w:r w:rsidRPr="009D4254">
        <w:rPr>
          <w:snapToGrid w:val="0"/>
          <w:lang w:val="fr-CA"/>
        </w:rPr>
        <w:t>.</w:t>
      </w:r>
      <w:bookmarkEnd w:id="267"/>
      <w:bookmarkEnd w:id="268"/>
    </w:p>
    <w:p w14:paraId="39451548" w14:textId="3E2FA0DF" w:rsidR="00037C7E" w:rsidRPr="0059083D" w:rsidRDefault="000B08F2">
      <w:pPr>
        <w:pStyle w:val="StandardCont2"/>
        <w:rPr>
          <w:lang w:val="fr-CA"/>
        </w:rPr>
      </w:pPr>
      <w:r w:rsidRPr="009D4254">
        <w:rPr>
          <w:snapToGrid w:val="0"/>
          <w:lang w:val="fr-CA"/>
        </w:rPr>
        <w:t xml:space="preserve">La Société </w:t>
      </w:r>
      <w:r w:rsidR="000974FE" w:rsidRPr="009D4254">
        <w:rPr>
          <w:snapToGrid w:val="0"/>
          <w:lang w:val="fr-CA"/>
        </w:rPr>
        <w:t xml:space="preserve">permet à chaque </w:t>
      </w:r>
      <w:r w:rsidR="006C7CDF" w:rsidRPr="009D4254">
        <w:rPr>
          <w:snapToGrid w:val="0"/>
          <w:lang w:val="fr-CA"/>
        </w:rPr>
        <w:t>Investisseur important</w:t>
      </w:r>
      <w:r w:rsidRPr="009D4254">
        <w:rPr>
          <w:snapToGrid w:val="0"/>
          <w:lang w:val="fr-CA"/>
        </w:rPr>
        <w:t xml:space="preserve"> </w:t>
      </w:r>
      <w:r w:rsidR="000974FE" w:rsidRPr="009D4254">
        <w:rPr>
          <w:snapToGrid w:val="0"/>
          <w:lang w:val="fr-CA"/>
        </w:rPr>
        <w:t xml:space="preserve">qui en fait raisonnablement la demande </w:t>
      </w:r>
      <w:r w:rsidRPr="009D4254">
        <w:rPr>
          <w:snapToGrid w:val="0"/>
          <w:lang w:val="fr-CA"/>
        </w:rPr>
        <w:t>[(</w:t>
      </w:r>
      <w:r w:rsidR="000974FE" w:rsidRPr="009D4254">
        <w:rPr>
          <w:snapToGrid w:val="0"/>
          <w:lang w:val="fr-CA"/>
        </w:rPr>
        <w:t xml:space="preserve">dans la mesure où </w:t>
      </w:r>
      <w:r w:rsidRPr="009D4254">
        <w:rPr>
          <w:snapToGrid w:val="0"/>
          <w:lang w:val="fr-CA"/>
        </w:rPr>
        <w:t xml:space="preserve">le Conseil d’administration </w:t>
      </w:r>
      <w:r w:rsidR="000974FE" w:rsidRPr="009D4254">
        <w:rPr>
          <w:snapToGrid w:val="0"/>
          <w:lang w:val="fr-CA"/>
        </w:rPr>
        <w:t xml:space="preserve">n’a pas raisonnablement </w:t>
      </w:r>
      <w:r w:rsidR="00986EE8">
        <w:rPr>
          <w:snapToGrid w:val="0"/>
          <w:lang w:val="fr-CA"/>
        </w:rPr>
        <w:t>déterminé</w:t>
      </w:r>
      <w:r w:rsidR="000974FE" w:rsidRPr="009D4254">
        <w:rPr>
          <w:snapToGrid w:val="0"/>
          <w:lang w:val="fr-CA"/>
        </w:rPr>
        <w:t xml:space="preserve"> que cet </w:t>
      </w:r>
      <w:r w:rsidR="006C7CDF" w:rsidRPr="009D4254">
        <w:rPr>
          <w:snapToGrid w:val="0"/>
          <w:lang w:val="fr-CA"/>
        </w:rPr>
        <w:t>Investisseur important</w:t>
      </w:r>
      <w:r w:rsidRPr="009D4254">
        <w:rPr>
          <w:snapToGrid w:val="0"/>
          <w:lang w:val="fr-CA"/>
        </w:rPr>
        <w:t xml:space="preserve"> </w:t>
      </w:r>
      <w:r w:rsidR="000974FE" w:rsidRPr="009D4254">
        <w:rPr>
          <w:snapToGrid w:val="0"/>
          <w:lang w:val="fr-CA"/>
        </w:rPr>
        <w:t xml:space="preserve">est un concurrent de </w:t>
      </w:r>
      <w:r w:rsidRPr="009D4254">
        <w:rPr>
          <w:snapToGrid w:val="0"/>
          <w:lang w:val="fr-CA"/>
        </w:rPr>
        <w:t xml:space="preserve">la Société)], </w:t>
      </w:r>
      <w:r w:rsidR="000974FE" w:rsidRPr="009D4254">
        <w:rPr>
          <w:snapToGrid w:val="0"/>
          <w:lang w:val="fr-CA"/>
        </w:rPr>
        <w:t xml:space="preserve">aux frais de cet </w:t>
      </w:r>
      <w:r w:rsidR="006C7CDF" w:rsidRPr="009D4254">
        <w:rPr>
          <w:snapToGrid w:val="0"/>
          <w:lang w:val="fr-CA"/>
        </w:rPr>
        <w:t>Investisseur important</w:t>
      </w:r>
      <w:r w:rsidRPr="009D4254">
        <w:rPr>
          <w:snapToGrid w:val="0"/>
          <w:lang w:val="fr-CA"/>
        </w:rPr>
        <w:t xml:space="preserve">, </w:t>
      </w:r>
      <w:r w:rsidR="000974FE" w:rsidRPr="009D4254">
        <w:rPr>
          <w:snapToGrid w:val="0"/>
          <w:lang w:val="fr-CA"/>
        </w:rPr>
        <w:t xml:space="preserve">de visiter et d’inspecter les biens de la </w:t>
      </w:r>
      <w:r w:rsidRPr="009D4254">
        <w:rPr>
          <w:snapToGrid w:val="0"/>
          <w:lang w:val="fr-CA"/>
        </w:rPr>
        <w:t>Société</w:t>
      </w:r>
      <w:r w:rsidR="000974FE" w:rsidRPr="009D4254">
        <w:rPr>
          <w:snapToGrid w:val="0"/>
          <w:lang w:val="fr-CA"/>
        </w:rPr>
        <w:t>,</w:t>
      </w:r>
      <w:r w:rsidRPr="009D4254">
        <w:rPr>
          <w:snapToGrid w:val="0"/>
          <w:lang w:val="fr-CA"/>
        </w:rPr>
        <w:t xml:space="preserve"> </w:t>
      </w:r>
      <w:r w:rsidR="000974FE" w:rsidRPr="009D4254">
        <w:rPr>
          <w:snapToGrid w:val="0"/>
          <w:lang w:val="fr-CA"/>
        </w:rPr>
        <w:t>d’examiner ses documents comptables et ses registres et de discuter des affaires, des finances et des comptes de la Société avec ses dirigeants</w:t>
      </w:r>
      <w:r w:rsidRPr="009D4254">
        <w:rPr>
          <w:snapToGrid w:val="0"/>
          <w:lang w:val="fr-CA"/>
        </w:rPr>
        <w:t xml:space="preserve">, </w:t>
      </w:r>
      <w:r w:rsidR="000974FE" w:rsidRPr="009D4254">
        <w:rPr>
          <w:snapToGrid w:val="0"/>
          <w:lang w:val="fr-CA"/>
        </w:rPr>
        <w:t xml:space="preserve">pendant les heures d’ouverture </w:t>
      </w:r>
      <w:r w:rsidR="00986EE8">
        <w:rPr>
          <w:snapToGrid w:val="0"/>
          <w:lang w:val="fr-CA"/>
        </w:rPr>
        <w:t xml:space="preserve">habituelles </w:t>
      </w:r>
      <w:r w:rsidRPr="009D4254">
        <w:rPr>
          <w:snapToGrid w:val="0"/>
          <w:lang w:val="fr-CA"/>
        </w:rPr>
        <w:t xml:space="preserve">de la Société; </w:t>
      </w:r>
      <w:r w:rsidR="000974FE" w:rsidRPr="009D4254">
        <w:rPr>
          <w:snapToGrid w:val="0"/>
          <w:lang w:val="fr-CA"/>
        </w:rPr>
        <w:t xml:space="preserve">il est entendu, toutefois, que </w:t>
      </w:r>
      <w:r w:rsidRPr="009D4254">
        <w:rPr>
          <w:snapToGrid w:val="0"/>
          <w:lang w:val="fr-CA"/>
        </w:rPr>
        <w:t xml:space="preserve">la Société </w:t>
      </w:r>
      <w:r w:rsidR="000974FE" w:rsidRPr="009D4254">
        <w:rPr>
          <w:snapToGrid w:val="0"/>
          <w:lang w:val="fr-CA"/>
        </w:rPr>
        <w:t xml:space="preserve">n’est pas tenue aux termes du présent </w:t>
      </w:r>
      <w:r w:rsidR="002A0F83" w:rsidRPr="009D4254">
        <w:rPr>
          <w:snapToGrid w:val="0"/>
          <w:u w:val="single"/>
          <w:lang w:val="fr-CA"/>
        </w:rPr>
        <w:t>paragraphe </w:t>
      </w:r>
      <w:r w:rsidRPr="00986BEB">
        <w:rPr>
          <w:snapToGrid w:val="0"/>
          <w:u w:val="single"/>
          <w:lang w:val="fr-CA"/>
        </w:rPr>
        <w:fldChar w:fldCharType="begin"/>
      </w:r>
      <w:r w:rsidRPr="00986BEB">
        <w:rPr>
          <w:snapToGrid w:val="0"/>
          <w:u w:val="single"/>
          <w:lang w:val="fr-CA"/>
        </w:rPr>
        <w:instrText xml:space="preserve">  REF _Ref448380622 \w \h \* MERGEFORMAT </w:instrText>
      </w:r>
      <w:r w:rsidRPr="00986BEB">
        <w:rPr>
          <w:snapToGrid w:val="0"/>
          <w:u w:val="single"/>
          <w:lang w:val="fr-CA"/>
        </w:rPr>
      </w:r>
      <w:r w:rsidRPr="00986BEB">
        <w:rPr>
          <w:snapToGrid w:val="0"/>
          <w:u w:val="single"/>
          <w:lang w:val="fr-CA"/>
        </w:rPr>
        <w:fldChar w:fldCharType="separate"/>
      </w:r>
      <w:r w:rsidR="00AE1D96" w:rsidRPr="00AE1D96">
        <w:rPr>
          <w:snapToGrid w:val="0"/>
          <w:color w:val="000000"/>
          <w:u w:val="single"/>
          <w:lang w:val="fr-CA"/>
        </w:rPr>
        <w:t>3.2</w:t>
      </w:r>
      <w:r w:rsidRPr="00986BEB">
        <w:rPr>
          <w:snapToGrid w:val="0"/>
          <w:u w:val="single"/>
          <w:lang w:val="fr-CA"/>
        </w:rPr>
        <w:fldChar w:fldCharType="end"/>
      </w:r>
      <w:r w:rsidRPr="009D4254">
        <w:rPr>
          <w:snapToGrid w:val="0"/>
          <w:lang w:val="fr-CA"/>
        </w:rPr>
        <w:t xml:space="preserve"> </w:t>
      </w:r>
      <w:r w:rsidR="000974FE" w:rsidRPr="009D4254">
        <w:rPr>
          <w:snapToGrid w:val="0"/>
          <w:lang w:val="fr-CA"/>
        </w:rPr>
        <w:t xml:space="preserve">de donner accès à des renseignements qu’elle considère raisonnablement et de bonne foi comme des secrets commerciaux ou des renseignements confidentiels </w:t>
      </w:r>
      <w:r w:rsidR="000974FE" w:rsidRPr="009D4254">
        <w:rPr>
          <w:lang w:val="fr-CA"/>
        </w:rPr>
        <w:t>(à moins qu’ils ne soient visés par une entente de confidentialité exécutoire dont elle juge la forme acceptable) ou dont la communication porterait atteinte au privilège du secret professionnel entre la Société et son conseiller juridique</w:t>
      </w:r>
      <w:r w:rsidRPr="009D4254">
        <w:rPr>
          <w:snapToGrid w:val="0"/>
          <w:lang w:val="fr-CA"/>
        </w:rPr>
        <w:t>.</w:t>
      </w:r>
    </w:p>
    <w:p w14:paraId="2A4E3BDB" w14:textId="0E3AC03D" w:rsidR="00037C7E" w:rsidRPr="00986BEB" w:rsidRDefault="000B08F2">
      <w:pPr>
        <w:pStyle w:val="StandardL2"/>
        <w:rPr>
          <w:lang w:val="fr-CA"/>
        </w:rPr>
      </w:pPr>
      <w:bookmarkStart w:id="269" w:name="_Ref448380623"/>
      <w:bookmarkStart w:id="270" w:name="_Toc132874736"/>
      <w:r w:rsidRPr="009D4254">
        <w:rPr>
          <w:lang w:val="fr-CA"/>
        </w:rPr>
        <w:t>[</w:t>
      </w:r>
      <w:r w:rsidR="000974FE" w:rsidRPr="009D4254">
        <w:rPr>
          <w:lang w:val="fr-CA"/>
        </w:rPr>
        <w:t>Droits d’observateur</w:t>
      </w:r>
      <w:r w:rsidRPr="009D4254">
        <w:rPr>
          <w:snapToGrid w:val="0"/>
          <w:lang w:val="fr-CA"/>
        </w:rPr>
        <w:t>.</w:t>
      </w:r>
      <w:bookmarkEnd w:id="269"/>
      <w:bookmarkEnd w:id="270"/>
    </w:p>
    <w:p w14:paraId="165B0C17" w14:textId="305CC18B" w:rsidR="00037C7E" w:rsidRPr="0059083D" w:rsidRDefault="000974FE">
      <w:pPr>
        <w:pStyle w:val="StandardCont2"/>
        <w:rPr>
          <w:lang w:val="fr-CA"/>
        </w:rPr>
      </w:pPr>
      <w:r w:rsidRPr="0059083D">
        <w:rPr>
          <w:snapToGrid w:val="0"/>
          <w:lang w:val="fr-CA"/>
        </w:rPr>
        <w:t xml:space="preserve">Tant que </w:t>
      </w:r>
      <w:r w:rsidR="000B08F2" w:rsidRPr="0059083D">
        <w:rPr>
          <w:snapToGrid w:val="0"/>
          <w:lang w:val="fr-CA"/>
        </w:rPr>
        <w:t xml:space="preserve">[_____] </w:t>
      </w:r>
      <w:r w:rsidRPr="0059083D">
        <w:rPr>
          <w:snapToGrid w:val="0"/>
          <w:lang w:val="fr-CA"/>
        </w:rPr>
        <w:t xml:space="preserve">est propriétaire d’au moins </w:t>
      </w:r>
      <w:r w:rsidR="000B08F2" w:rsidRPr="0059083D">
        <w:rPr>
          <w:snapToGrid w:val="0"/>
          <w:lang w:val="fr-CA"/>
        </w:rPr>
        <w:t xml:space="preserve">[_____] </w:t>
      </w:r>
      <w:r w:rsidRPr="0059083D">
        <w:rPr>
          <w:snapToGrid w:val="0"/>
          <w:lang w:val="fr-CA"/>
        </w:rPr>
        <w:t xml:space="preserve">pour cent </w:t>
      </w:r>
      <w:r w:rsidR="000B08F2" w:rsidRPr="0059083D">
        <w:rPr>
          <w:snapToGrid w:val="0"/>
          <w:lang w:val="fr-CA"/>
        </w:rPr>
        <w:t>[(____</w:t>
      </w:r>
      <w:r w:rsidRPr="0059083D">
        <w:rPr>
          <w:snapToGrid w:val="0"/>
          <w:lang w:val="fr-CA"/>
        </w:rPr>
        <w:t> </w:t>
      </w:r>
      <w:r w:rsidR="000B08F2" w:rsidRPr="0059083D">
        <w:rPr>
          <w:snapToGrid w:val="0"/>
          <w:lang w:val="fr-CA"/>
        </w:rPr>
        <w:t xml:space="preserve">%)] </w:t>
      </w:r>
      <w:r w:rsidRPr="0059083D">
        <w:rPr>
          <w:snapToGrid w:val="0"/>
          <w:lang w:val="fr-CA"/>
        </w:rPr>
        <w:t xml:space="preserve">des </w:t>
      </w:r>
      <w:r w:rsidR="004B6285" w:rsidRPr="0059083D">
        <w:rPr>
          <w:snapToGrid w:val="0"/>
          <w:lang w:val="fr-CA"/>
        </w:rPr>
        <w:t>Actions privilégiées [de catégorie A]</w:t>
      </w:r>
      <w:r w:rsidR="000B08F2" w:rsidRPr="0059083D">
        <w:rPr>
          <w:snapToGrid w:val="0"/>
          <w:lang w:val="fr-CA"/>
        </w:rPr>
        <w:t xml:space="preserve"> </w:t>
      </w:r>
      <w:r w:rsidRPr="0059083D">
        <w:rPr>
          <w:snapToGrid w:val="0"/>
          <w:lang w:val="fr-CA"/>
        </w:rPr>
        <w:t xml:space="preserve">qu’[il </w:t>
      </w:r>
      <w:r w:rsidR="00CA33EC">
        <w:rPr>
          <w:snapToGrid w:val="0"/>
          <w:lang w:val="fr-CA"/>
        </w:rPr>
        <w:t>/</w:t>
      </w:r>
      <w:r w:rsidRPr="0059083D">
        <w:rPr>
          <w:snapToGrid w:val="0"/>
          <w:lang w:val="fr-CA"/>
        </w:rPr>
        <w:t xml:space="preserve"> elle] souscrit aux termes de la </w:t>
      </w:r>
      <w:r w:rsidR="000B08F2" w:rsidRPr="0059083D">
        <w:rPr>
          <w:snapToGrid w:val="0"/>
          <w:lang w:val="fr-CA"/>
        </w:rPr>
        <w:t>Convention d’achat (</w:t>
      </w:r>
      <w:r w:rsidRPr="0059083D">
        <w:rPr>
          <w:snapToGrid w:val="0"/>
          <w:lang w:val="fr-CA"/>
        </w:rPr>
        <w:t>ou d’un nombre équivalent d’</w:t>
      </w:r>
      <w:r w:rsidR="000B08F2" w:rsidRPr="0059083D">
        <w:rPr>
          <w:snapToGrid w:val="0"/>
          <w:lang w:val="fr-CA"/>
        </w:rPr>
        <w:t xml:space="preserve">Actions ordinaires </w:t>
      </w:r>
      <w:r w:rsidRPr="0059083D">
        <w:rPr>
          <w:snapToGrid w:val="0"/>
          <w:lang w:val="fr-CA"/>
        </w:rPr>
        <w:t>émises à la conversion de celles-ci</w:t>
      </w:r>
      <w:r w:rsidR="000B08F2" w:rsidRPr="0059083D">
        <w:rPr>
          <w:snapToGrid w:val="0"/>
          <w:lang w:val="fr-CA"/>
        </w:rPr>
        <w:t xml:space="preserve">), la Société </w:t>
      </w:r>
      <w:r w:rsidRPr="0059083D">
        <w:rPr>
          <w:snapToGrid w:val="0"/>
          <w:lang w:val="fr-CA"/>
        </w:rPr>
        <w:t xml:space="preserve">invite un représentant de </w:t>
      </w:r>
      <w:r w:rsidR="000B08F2" w:rsidRPr="0059083D">
        <w:rPr>
          <w:snapToGrid w:val="0"/>
          <w:lang w:val="fr-CA"/>
        </w:rPr>
        <w:t xml:space="preserve">[_____] </w:t>
      </w:r>
      <w:r w:rsidRPr="0059083D">
        <w:rPr>
          <w:snapToGrid w:val="0"/>
          <w:lang w:val="fr-CA"/>
        </w:rPr>
        <w:t>à assister à toutes les réunions de son Conseil d’administration à titre d’</w:t>
      </w:r>
      <w:r w:rsidR="00986EE8">
        <w:rPr>
          <w:snapToGrid w:val="0"/>
          <w:lang w:val="fr-CA"/>
        </w:rPr>
        <w:t>observat</w:t>
      </w:r>
      <w:r w:rsidRPr="0059083D">
        <w:rPr>
          <w:snapToGrid w:val="0"/>
          <w:lang w:val="fr-CA"/>
        </w:rPr>
        <w:t xml:space="preserve">eur sans droit de vote et, à cet égard, elle remet à ce représentant des copies de tous les avis, procès-verbaux, consentements et autres documents qu’elle remet à ses administrateurs </w:t>
      </w:r>
      <w:r w:rsidR="000B08F2" w:rsidRPr="0059083D">
        <w:rPr>
          <w:snapToGrid w:val="0"/>
          <w:lang w:val="fr-CA"/>
        </w:rPr>
        <w:t>[</w:t>
      </w:r>
      <w:r w:rsidR="000E12C5">
        <w:rPr>
          <w:snapToGrid w:val="0"/>
          <w:lang w:val="fr-CA"/>
        </w:rPr>
        <w:t>en même temps</w:t>
      </w:r>
      <w:r w:rsidRPr="0059083D">
        <w:rPr>
          <w:snapToGrid w:val="0"/>
          <w:lang w:val="fr-CA"/>
        </w:rPr>
        <w:t xml:space="preserve"> et de la même manière</w:t>
      </w:r>
      <w:r w:rsidR="000E12C5">
        <w:rPr>
          <w:snapToGrid w:val="0"/>
          <w:lang w:val="fr-CA"/>
        </w:rPr>
        <w:t xml:space="preserve"> qu’elle les fournit à ces administrateurs</w:t>
      </w:r>
      <w:r w:rsidR="000B08F2" w:rsidRPr="0059083D">
        <w:rPr>
          <w:snapToGrid w:val="0"/>
          <w:lang w:val="fr-CA"/>
        </w:rPr>
        <w:t xml:space="preserve">]; </w:t>
      </w:r>
      <w:r w:rsidRPr="0059083D">
        <w:rPr>
          <w:snapToGrid w:val="0"/>
          <w:lang w:val="fr-CA"/>
        </w:rPr>
        <w:t>il est entendu</w:t>
      </w:r>
      <w:r w:rsidR="000B08F2" w:rsidRPr="0059083D">
        <w:rPr>
          <w:snapToGrid w:val="0"/>
          <w:lang w:val="fr-CA"/>
        </w:rPr>
        <w:t xml:space="preserve">, </w:t>
      </w:r>
      <w:r w:rsidRPr="0059083D">
        <w:rPr>
          <w:snapToGrid w:val="0"/>
          <w:lang w:val="fr-CA"/>
        </w:rPr>
        <w:t xml:space="preserve">toutefois, que ce représentant doit s’engager à préserver la confidentialité de tous les renseignements ainsi fournis et que </w:t>
      </w:r>
      <w:r w:rsidR="000B08F2" w:rsidRPr="0059083D">
        <w:rPr>
          <w:snapToGrid w:val="0"/>
          <w:lang w:val="fr-CA"/>
        </w:rPr>
        <w:t xml:space="preserve">la Société </w:t>
      </w:r>
      <w:r w:rsidRPr="0059083D">
        <w:rPr>
          <w:snapToGrid w:val="0"/>
          <w:lang w:val="fr-CA"/>
        </w:rPr>
        <w:t xml:space="preserve">se réserve le droit d’omettre des renseignements et d’exclure le représentant d’une réunion ou d’une partie de réunion dans le cas où son accès à ces renseignements ou sa présence à cette réunion porterait </w:t>
      </w:r>
      <w:r w:rsidRPr="009D4254">
        <w:rPr>
          <w:lang w:val="fr-CA"/>
        </w:rPr>
        <w:t>atteinte au privilège du secret professionnel entre la Société et son conseiller juridique</w:t>
      </w:r>
      <w:r w:rsidRPr="0059083D">
        <w:rPr>
          <w:snapToGrid w:val="0"/>
          <w:lang w:val="fr-CA"/>
        </w:rPr>
        <w:t xml:space="preserve">, entraînerait la </w:t>
      </w:r>
      <w:r w:rsidR="000E12C5">
        <w:rPr>
          <w:snapToGrid w:val="0"/>
          <w:lang w:val="fr-CA"/>
        </w:rPr>
        <w:t>divulgation</w:t>
      </w:r>
      <w:r w:rsidRPr="0059083D">
        <w:rPr>
          <w:snapToGrid w:val="0"/>
          <w:lang w:val="fr-CA"/>
        </w:rPr>
        <w:t xml:space="preserve"> de secrets commerciaux ou créerait un conflit d’intérêts</w:t>
      </w:r>
      <w:r w:rsidR="000B08F2" w:rsidRPr="0059083D">
        <w:rPr>
          <w:snapToGrid w:val="0"/>
          <w:lang w:val="fr-CA"/>
        </w:rPr>
        <w:t xml:space="preserve">, </w:t>
      </w:r>
      <w:r w:rsidRPr="0059083D">
        <w:rPr>
          <w:snapToGrid w:val="0"/>
          <w:lang w:val="fr-CA"/>
        </w:rPr>
        <w:t xml:space="preserve">ou dans le cas où cet </w:t>
      </w:r>
      <w:r w:rsidR="000F37C7" w:rsidRPr="0059083D">
        <w:rPr>
          <w:snapToGrid w:val="0"/>
          <w:lang w:val="fr-CA"/>
        </w:rPr>
        <w:t>Investisseur</w:t>
      </w:r>
      <w:r w:rsidR="000B08F2" w:rsidRPr="0059083D">
        <w:rPr>
          <w:snapToGrid w:val="0"/>
          <w:lang w:val="fr-CA"/>
        </w:rPr>
        <w:t xml:space="preserve"> </w:t>
      </w:r>
      <w:r w:rsidRPr="0059083D">
        <w:rPr>
          <w:snapToGrid w:val="0"/>
          <w:lang w:val="fr-CA"/>
        </w:rPr>
        <w:t xml:space="preserve">ou son représentant est un concurrent </w:t>
      </w:r>
      <w:r w:rsidR="000B08F2" w:rsidRPr="0059083D">
        <w:rPr>
          <w:snapToGrid w:val="0"/>
          <w:lang w:val="fr-CA"/>
        </w:rPr>
        <w:t>de la Société</w:t>
      </w:r>
      <w:bookmarkStart w:id="271" w:name="_Ref448380711"/>
      <w:r w:rsidR="000E12C5" w:rsidRPr="00986BEB">
        <w:rPr>
          <w:rStyle w:val="FootnoteReference"/>
          <w:snapToGrid w:val="0"/>
          <w:lang w:val="fr-CA"/>
        </w:rPr>
        <w:footnoteReference w:id="42"/>
      </w:r>
      <w:bookmarkEnd w:id="271"/>
      <w:r w:rsidR="000B08F2" w:rsidRPr="0059083D">
        <w:rPr>
          <w:snapToGrid w:val="0"/>
          <w:lang w:val="fr-CA"/>
        </w:rPr>
        <w:t>.]</w:t>
      </w:r>
    </w:p>
    <w:p w14:paraId="3DEB856E" w14:textId="4E96B0EF" w:rsidR="00037C7E" w:rsidRPr="00986BEB" w:rsidRDefault="0059083D">
      <w:pPr>
        <w:pStyle w:val="StandardL2"/>
        <w:rPr>
          <w:lang w:val="fr-CA"/>
        </w:rPr>
      </w:pPr>
      <w:bookmarkStart w:id="272" w:name="_Ref448380624"/>
      <w:bookmarkStart w:id="273" w:name="_Toc132874737"/>
      <w:r w:rsidRPr="009D4254">
        <w:rPr>
          <w:lang w:val="fr-CA"/>
        </w:rPr>
        <w:t xml:space="preserve">Extinction des droits à l’information </w:t>
      </w:r>
      <w:r w:rsidR="000B08F2" w:rsidRPr="009D4254">
        <w:rPr>
          <w:lang w:val="fr-CA"/>
        </w:rPr>
        <w:t>[</w:t>
      </w:r>
      <w:r w:rsidRPr="009D4254">
        <w:rPr>
          <w:lang w:val="fr-CA"/>
        </w:rPr>
        <w:t>et des droits d’observateur</w:t>
      </w:r>
      <w:r w:rsidR="000B08F2" w:rsidRPr="009D4254">
        <w:rPr>
          <w:lang w:val="fr-CA"/>
        </w:rPr>
        <w:t>]</w:t>
      </w:r>
      <w:r w:rsidR="000B08F2" w:rsidRPr="009D4254">
        <w:rPr>
          <w:snapToGrid w:val="0"/>
          <w:lang w:val="fr-CA"/>
        </w:rPr>
        <w:t>.</w:t>
      </w:r>
      <w:bookmarkEnd w:id="272"/>
      <w:bookmarkEnd w:id="273"/>
    </w:p>
    <w:p w14:paraId="0F6A93D9" w14:textId="14AF77E5" w:rsidR="00037C7E" w:rsidRPr="0059083D" w:rsidRDefault="000974FE">
      <w:pPr>
        <w:pStyle w:val="StandardCont2"/>
        <w:rPr>
          <w:lang w:val="fr-CA"/>
        </w:rPr>
      </w:pPr>
      <w:r w:rsidRPr="0059083D">
        <w:rPr>
          <w:snapToGrid w:val="0"/>
          <w:lang w:val="fr-CA"/>
        </w:rPr>
        <w:t xml:space="preserve">Les </w:t>
      </w:r>
      <w:r w:rsidR="00977C5C">
        <w:rPr>
          <w:snapToGrid w:val="0"/>
          <w:lang w:val="fr-CA"/>
        </w:rPr>
        <w:t xml:space="preserve">engagements </w:t>
      </w:r>
      <w:r w:rsidRPr="0059083D">
        <w:rPr>
          <w:snapToGrid w:val="0"/>
          <w:lang w:val="fr-CA"/>
        </w:rPr>
        <w:t xml:space="preserve">prévus au </w:t>
      </w:r>
      <w:r w:rsidR="002A0F83" w:rsidRPr="0059083D">
        <w:rPr>
          <w:snapToGrid w:val="0"/>
          <w:u w:val="single"/>
          <w:lang w:val="fr-CA"/>
        </w:rPr>
        <w:t>paragraphe </w:t>
      </w:r>
      <w:r w:rsidR="00977C5C" w:rsidRPr="00986BEB">
        <w:rPr>
          <w:u w:val="single"/>
          <w:lang w:val="fr-CA"/>
        </w:rPr>
        <w:fldChar w:fldCharType="begin"/>
      </w:r>
      <w:r w:rsidR="00977C5C" w:rsidRPr="00986BEB">
        <w:rPr>
          <w:u w:val="single"/>
          <w:lang w:val="fr-CA"/>
        </w:rPr>
        <w:instrText xml:space="preserve"> REF _Ref119587812 \w \h </w:instrText>
      </w:r>
      <w:r w:rsidR="00977C5C" w:rsidRPr="00986BEB">
        <w:rPr>
          <w:u w:val="single"/>
          <w:lang w:val="fr-CA"/>
        </w:rPr>
      </w:r>
      <w:r w:rsidR="00977C5C" w:rsidRPr="00986BEB">
        <w:rPr>
          <w:u w:val="single"/>
          <w:lang w:val="fr-CA"/>
        </w:rPr>
        <w:fldChar w:fldCharType="separate"/>
      </w:r>
      <w:r w:rsidR="00AE1D96">
        <w:rPr>
          <w:u w:val="single"/>
          <w:lang w:val="fr-CA"/>
        </w:rPr>
        <w:t>3.1</w:t>
      </w:r>
      <w:r w:rsidR="00977C5C" w:rsidRPr="00986BEB">
        <w:rPr>
          <w:u w:val="single"/>
          <w:lang w:val="fr-CA"/>
        </w:rPr>
        <w:fldChar w:fldCharType="end"/>
      </w:r>
      <w:r w:rsidR="000B08F2" w:rsidRPr="0059083D">
        <w:rPr>
          <w:snapToGrid w:val="0"/>
          <w:lang w:val="fr-CA"/>
        </w:rPr>
        <w:t>[,</w:t>
      </w:r>
      <w:r w:rsidR="00101B4D">
        <w:rPr>
          <w:snapToGrid w:val="0"/>
          <w:lang w:val="fr-CA"/>
        </w:rPr>
        <w:t>]</w:t>
      </w:r>
      <w:r w:rsidR="00977C5C">
        <w:rPr>
          <w:snapToGrid w:val="0"/>
          <w:lang w:val="fr-CA"/>
        </w:rPr>
        <w:t xml:space="preserve"> </w:t>
      </w:r>
      <w:r w:rsidR="00101B4D">
        <w:rPr>
          <w:snapToGrid w:val="0"/>
          <w:lang w:val="fr-CA"/>
        </w:rPr>
        <w:t>[</w:t>
      </w:r>
      <w:r w:rsidRPr="0059083D">
        <w:rPr>
          <w:snapToGrid w:val="0"/>
          <w:lang w:val="fr-CA"/>
        </w:rPr>
        <w:t>et</w:t>
      </w:r>
      <w:r w:rsidR="000B08F2" w:rsidRPr="0059083D">
        <w:rPr>
          <w:snapToGrid w:val="0"/>
          <w:lang w:val="fr-CA"/>
        </w:rPr>
        <w:t xml:space="preserve">] </w:t>
      </w:r>
      <w:r w:rsidRPr="0059083D">
        <w:rPr>
          <w:snapToGrid w:val="0"/>
          <w:lang w:val="fr-CA"/>
        </w:rPr>
        <w:t xml:space="preserve">au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_Ref448380622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3.2</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et au</w:t>
      </w:r>
      <w:r w:rsidR="000B08F2" w:rsidRPr="0059083D">
        <w:rPr>
          <w:snapToGrid w:val="0"/>
          <w:lang w:val="fr-CA"/>
        </w:rPr>
        <w:t xml:space="preserve"> </w:t>
      </w:r>
      <w:r w:rsidR="002A0F83" w:rsidRPr="0059083D">
        <w:rPr>
          <w:snapToGrid w:val="0"/>
          <w:u w:val="single"/>
          <w:lang w:val="fr-CA"/>
        </w:rPr>
        <w:t>paragraphe </w:t>
      </w:r>
      <w:r w:rsidR="000B08F2" w:rsidRPr="00986BEB">
        <w:rPr>
          <w:snapToGrid w:val="0"/>
          <w:u w:val="single"/>
          <w:lang w:val="fr-CA"/>
        </w:rPr>
        <w:fldChar w:fldCharType="begin"/>
      </w:r>
      <w:r w:rsidR="00943197" w:rsidRPr="00986BEB">
        <w:rPr>
          <w:snapToGrid w:val="0"/>
          <w:u w:val="single"/>
          <w:lang w:val="fr-CA"/>
        </w:rPr>
        <w:instrText xml:space="preserve"> REF _Ref448380623 \w \h  \* MERGEFORMAT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3.3</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 xml:space="preserve">s’éteignent et </w:t>
      </w:r>
      <w:r w:rsidR="00DC3200" w:rsidRPr="0059083D">
        <w:rPr>
          <w:snapToGrid w:val="0"/>
          <w:lang w:val="fr-CA"/>
        </w:rPr>
        <w:t xml:space="preserve">deviennent nuls et sans effet </w:t>
      </w:r>
      <w:bookmarkStart w:id="274" w:name="DocXTextRef221"/>
      <w:r w:rsidR="000B08F2" w:rsidRPr="0059083D">
        <w:rPr>
          <w:snapToGrid w:val="0"/>
          <w:lang w:val="fr-CA"/>
        </w:rPr>
        <w:t>(</w:t>
      </w:r>
      <w:r w:rsidR="000B08F2" w:rsidRPr="00986BEB">
        <w:rPr>
          <w:snapToGrid w:val="0"/>
          <w:lang w:val="fr-CA"/>
        </w:rPr>
        <w:t>i</w:t>
      </w:r>
      <w:r w:rsidR="000B08F2" w:rsidRPr="0059083D">
        <w:rPr>
          <w:snapToGrid w:val="0"/>
          <w:lang w:val="fr-CA"/>
        </w:rPr>
        <w:t>)</w:t>
      </w:r>
      <w:bookmarkEnd w:id="274"/>
      <w:r w:rsidRPr="0059083D">
        <w:rPr>
          <w:snapToGrid w:val="0"/>
          <w:lang w:val="fr-CA"/>
        </w:rPr>
        <w:t> immédiatement avant la réalisation du PAPE</w:t>
      </w:r>
      <w:bookmarkStart w:id="275" w:name="_Ref448380712"/>
      <w:r w:rsidR="000B08F2" w:rsidRPr="00986BEB">
        <w:rPr>
          <w:rStyle w:val="FootnoteReference"/>
          <w:snapToGrid w:val="0"/>
          <w:lang w:val="fr-CA"/>
        </w:rPr>
        <w:footnoteReference w:id="43"/>
      </w:r>
      <w:bookmarkEnd w:id="275"/>
      <w:r w:rsidRPr="0059083D">
        <w:rPr>
          <w:snapToGrid w:val="0"/>
          <w:lang w:val="fr-CA"/>
        </w:rPr>
        <w:t xml:space="preserve">, </w:t>
      </w:r>
      <w:r w:rsidR="000B08F2" w:rsidRPr="0059083D">
        <w:rPr>
          <w:snapToGrid w:val="0"/>
          <w:szCs w:val="16"/>
          <w:lang w:val="fr-CA"/>
        </w:rPr>
        <w:t>[</w:t>
      </w:r>
      <w:r w:rsidRPr="0059083D">
        <w:rPr>
          <w:snapToGrid w:val="0"/>
          <w:szCs w:val="16"/>
          <w:lang w:val="fr-CA"/>
        </w:rPr>
        <w:t>ou</w:t>
      </w:r>
      <w:r w:rsidR="000B08F2" w:rsidRPr="0059083D">
        <w:rPr>
          <w:snapToGrid w:val="0"/>
          <w:szCs w:val="16"/>
          <w:lang w:val="fr-CA"/>
        </w:rPr>
        <w:t xml:space="preserve">] </w:t>
      </w:r>
      <w:bookmarkStart w:id="276" w:name="DocXTextRef222"/>
      <w:r w:rsidR="000B08F2" w:rsidRPr="0059083D">
        <w:rPr>
          <w:snapToGrid w:val="0"/>
          <w:lang w:val="fr-CA"/>
        </w:rPr>
        <w:t>(</w:t>
      </w:r>
      <w:r w:rsidR="000B08F2" w:rsidRPr="00986BEB">
        <w:rPr>
          <w:snapToGrid w:val="0"/>
          <w:lang w:val="fr-CA"/>
        </w:rPr>
        <w:t>ii</w:t>
      </w:r>
      <w:r w:rsidR="000B08F2" w:rsidRPr="0059083D">
        <w:rPr>
          <w:snapToGrid w:val="0"/>
          <w:lang w:val="fr-CA"/>
        </w:rPr>
        <w:t>)</w:t>
      </w:r>
      <w:bookmarkEnd w:id="276"/>
      <w:r w:rsidRPr="0059083D">
        <w:rPr>
          <w:snapToGrid w:val="0"/>
          <w:lang w:val="fr-CA"/>
        </w:rPr>
        <w:t xml:space="preserve"> lorsque la </w:t>
      </w:r>
      <w:r w:rsidR="000B08F2" w:rsidRPr="0059083D">
        <w:rPr>
          <w:snapToGrid w:val="0"/>
          <w:lang w:val="fr-CA"/>
        </w:rPr>
        <w:t xml:space="preserve">Société </w:t>
      </w:r>
      <w:r w:rsidRPr="0059083D">
        <w:rPr>
          <w:snapToGrid w:val="0"/>
          <w:lang w:val="fr-CA"/>
        </w:rPr>
        <w:t xml:space="preserve">devient pour la première fois </w:t>
      </w:r>
      <w:r w:rsidR="00DC3200" w:rsidRPr="0059083D">
        <w:rPr>
          <w:snapToGrid w:val="0"/>
          <w:lang w:val="fr-CA"/>
        </w:rPr>
        <w:t>assujettie aux obligations d</w:t>
      </w:r>
      <w:r w:rsidR="00101B4D">
        <w:rPr>
          <w:snapToGrid w:val="0"/>
          <w:lang w:val="fr-CA"/>
        </w:rPr>
        <w:t>’information</w:t>
      </w:r>
      <w:r w:rsidR="00DC3200" w:rsidRPr="0059083D">
        <w:rPr>
          <w:snapToGrid w:val="0"/>
          <w:lang w:val="fr-CA"/>
        </w:rPr>
        <w:t xml:space="preserve"> périodique prévues aux paragraphes</w:t>
      </w:r>
      <w:bookmarkStart w:id="277" w:name="DocXTextRef220"/>
      <w:r w:rsidR="00DC3200" w:rsidRPr="0059083D">
        <w:rPr>
          <w:snapToGrid w:val="0"/>
          <w:lang w:val="fr-CA"/>
        </w:rPr>
        <w:t> </w:t>
      </w:r>
      <w:r w:rsidR="000B08F2" w:rsidRPr="00986BEB">
        <w:rPr>
          <w:snapToGrid w:val="0"/>
          <w:lang w:val="fr-CA"/>
        </w:rPr>
        <w:t>12</w:t>
      </w:r>
      <w:r w:rsidR="000B08F2" w:rsidRPr="0059083D">
        <w:rPr>
          <w:snapToGrid w:val="0"/>
          <w:lang w:val="fr-CA"/>
        </w:rPr>
        <w:t>(g)</w:t>
      </w:r>
      <w:bookmarkEnd w:id="277"/>
      <w:r w:rsidR="000B08F2" w:rsidRPr="0059083D">
        <w:rPr>
          <w:snapToGrid w:val="0"/>
          <w:lang w:val="fr-CA"/>
        </w:rPr>
        <w:t xml:space="preserve"> </w:t>
      </w:r>
      <w:r w:rsidR="00DC3200" w:rsidRPr="0059083D">
        <w:rPr>
          <w:snapToGrid w:val="0"/>
          <w:lang w:val="fr-CA"/>
        </w:rPr>
        <w:t xml:space="preserve">ou </w:t>
      </w:r>
      <w:bookmarkStart w:id="278" w:name="DocXTextRef223"/>
      <w:r w:rsidR="000B08F2" w:rsidRPr="00986BEB">
        <w:rPr>
          <w:snapToGrid w:val="0"/>
          <w:lang w:val="fr-CA"/>
        </w:rPr>
        <w:t>15</w:t>
      </w:r>
      <w:r w:rsidR="000B08F2" w:rsidRPr="0059083D">
        <w:rPr>
          <w:snapToGrid w:val="0"/>
          <w:lang w:val="fr-CA"/>
        </w:rPr>
        <w:t>(d)</w:t>
      </w:r>
      <w:bookmarkEnd w:id="278"/>
      <w:r w:rsidR="000B08F2" w:rsidRPr="0059083D">
        <w:rPr>
          <w:snapToGrid w:val="0"/>
          <w:lang w:val="fr-CA"/>
        </w:rPr>
        <w:t xml:space="preserve"> </w:t>
      </w:r>
      <w:r w:rsidR="00DC3200" w:rsidRPr="0059083D">
        <w:rPr>
          <w:snapToGrid w:val="0"/>
          <w:lang w:val="fr-CA"/>
        </w:rPr>
        <w:t xml:space="preserve">de la </w:t>
      </w:r>
      <w:r w:rsidR="00F52467" w:rsidRPr="0059083D">
        <w:rPr>
          <w:snapToGrid w:val="0"/>
          <w:lang w:val="fr-CA"/>
        </w:rPr>
        <w:t xml:space="preserve">Loi de </w:t>
      </w:r>
      <w:r w:rsidR="00F52467" w:rsidRPr="00986BEB">
        <w:rPr>
          <w:snapToGrid w:val="0"/>
          <w:lang w:val="fr-CA"/>
        </w:rPr>
        <w:t>1934</w:t>
      </w:r>
      <w:r w:rsidR="000B08F2" w:rsidRPr="0059083D">
        <w:rPr>
          <w:snapToGrid w:val="0"/>
          <w:lang w:val="fr-CA"/>
        </w:rPr>
        <w:t>, [</w:t>
      </w:r>
      <w:r w:rsidR="00DC3200" w:rsidRPr="0059083D">
        <w:rPr>
          <w:snapToGrid w:val="0"/>
          <w:lang w:val="fr-CA"/>
        </w:rPr>
        <w:t>ou</w:t>
      </w:r>
      <w:r w:rsidR="000B08F2" w:rsidRPr="0059083D">
        <w:rPr>
          <w:snapToGrid w:val="0"/>
          <w:lang w:val="fr-CA"/>
        </w:rPr>
        <w:t xml:space="preserve"> </w:t>
      </w:r>
      <w:bookmarkStart w:id="279" w:name="DocXTextRef224"/>
      <w:r w:rsidR="000B08F2" w:rsidRPr="0059083D">
        <w:rPr>
          <w:snapToGrid w:val="0"/>
          <w:lang w:val="fr-CA"/>
        </w:rPr>
        <w:t>(</w:t>
      </w:r>
      <w:r w:rsidR="000B08F2" w:rsidRPr="00986BEB">
        <w:rPr>
          <w:snapToGrid w:val="0"/>
          <w:lang w:val="fr-CA"/>
        </w:rPr>
        <w:t>iii</w:t>
      </w:r>
      <w:r w:rsidR="000B08F2" w:rsidRPr="0059083D">
        <w:rPr>
          <w:snapToGrid w:val="0"/>
          <w:lang w:val="fr-CA"/>
        </w:rPr>
        <w:t>)</w:t>
      </w:r>
      <w:bookmarkEnd w:id="279"/>
      <w:r w:rsidR="00DC3200" w:rsidRPr="0059083D">
        <w:rPr>
          <w:snapToGrid w:val="0"/>
          <w:lang w:val="fr-CA"/>
        </w:rPr>
        <w:t xml:space="preserve"> à la clôture d’un </w:t>
      </w:r>
      <w:r w:rsidR="00645C4F">
        <w:rPr>
          <w:snapToGrid w:val="0"/>
          <w:lang w:val="fr-CA"/>
        </w:rPr>
        <w:t>Cas de l</w:t>
      </w:r>
      <w:r w:rsidR="00DC3200" w:rsidRPr="0059083D">
        <w:rPr>
          <w:snapToGrid w:val="0"/>
          <w:lang w:val="fr-CA"/>
        </w:rPr>
        <w:t>iquidation réputé</w:t>
      </w:r>
      <w:r w:rsidR="000B08F2" w:rsidRPr="0059083D">
        <w:rPr>
          <w:snapToGrid w:val="0"/>
          <w:lang w:val="fr-CA"/>
        </w:rPr>
        <w:t xml:space="preserve">[, </w:t>
      </w:r>
      <w:r w:rsidR="00DC3200" w:rsidRPr="0059083D">
        <w:rPr>
          <w:snapToGrid w:val="0"/>
          <w:lang w:val="fr-CA"/>
        </w:rPr>
        <w:t>au sens</w:t>
      </w:r>
      <w:r w:rsidR="00101B4D">
        <w:rPr>
          <w:snapToGrid w:val="0"/>
          <w:lang w:val="fr-CA"/>
        </w:rPr>
        <w:t xml:space="preserve"> donné à </w:t>
      </w:r>
      <w:r w:rsidR="00101B4D">
        <w:rPr>
          <w:i/>
          <w:iCs/>
          <w:snapToGrid w:val="0"/>
          <w:lang w:val="fr-CA"/>
        </w:rPr>
        <w:t>Deemed Liquidation Event</w:t>
      </w:r>
      <w:r w:rsidR="00101B4D">
        <w:rPr>
          <w:snapToGrid w:val="0"/>
          <w:lang w:val="fr-CA"/>
        </w:rPr>
        <w:t xml:space="preserve"> dans les</w:t>
      </w:r>
      <w:r w:rsidR="00DC3200" w:rsidRPr="0059083D">
        <w:rPr>
          <w:snapToGrid w:val="0"/>
          <w:lang w:val="fr-CA"/>
        </w:rPr>
        <w:t xml:space="preserve"> Statuts de </w:t>
      </w:r>
      <w:r w:rsidR="000B08F2" w:rsidRPr="0059083D">
        <w:rPr>
          <w:snapToGrid w:val="0"/>
          <w:lang w:val="fr-CA"/>
        </w:rPr>
        <w:t xml:space="preserve">la Société,]] </w:t>
      </w:r>
      <w:r w:rsidR="00DC3200" w:rsidRPr="0059083D">
        <w:rPr>
          <w:snapToGrid w:val="0"/>
          <w:lang w:val="fr-CA"/>
        </w:rPr>
        <w:t>selon la première éventualité à survenir</w:t>
      </w:r>
      <w:bookmarkStart w:id="280" w:name="_cp_text_1_109"/>
      <w:r w:rsidR="00240723" w:rsidRPr="0059083D">
        <w:rPr>
          <w:szCs w:val="24"/>
          <w:lang w:val="fr-CA"/>
        </w:rPr>
        <w:t xml:space="preserve">[; </w:t>
      </w:r>
      <w:r w:rsidR="00DC3200" w:rsidRPr="0059083D">
        <w:rPr>
          <w:szCs w:val="24"/>
          <w:u w:val="single"/>
          <w:lang w:val="fr-CA"/>
        </w:rPr>
        <w:t>toutefois</w:t>
      </w:r>
      <w:r w:rsidR="00240723" w:rsidRPr="0059083D">
        <w:rPr>
          <w:szCs w:val="24"/>
          <w:lang w:val="fr-CA"/>
        </w:rPr>
        <w:t xml:space="preserve">, </w:t>
      </w:r>
      <w:r w:rsidR="00DC3200" w:rsidRPr="0059083D">
        <w:rPr>
          <w:szCs w:val="24"/>
          <w:lang w:val="fr-CA"/>
        </w:rPr>
        <w:t xml:space="preserve">en ce qui concerne la </w:t>
      </w:r>
      <w:r w:rsidR="00240723" w:rsidRPr="0059083D">
        <w:rPr>
          <w:szCs w:val="24"/>
          <w:u w:val="single"/>
          <w:lang w:val="fr-CA"/>
        </w:rPr>
        <w:t>clause</w:t>
      </w:r>
      <w:r w:rsidR="00DC3200" w:rsidRPr="0059083D">
        <w:rPr>
          <w:szCs w:val="24"/>
          <w:u w:val="single"/>
          <w:lang w:val="fr-CA"/>
        </w:rPr>
        <w:t> </w:t>
      </w:r>
      <w:r w:rsidR="00240723" w:rsidRPr="0059083D">
        <w:rPr>
          <w:szCs w:val="24"/>
          <w:u w:val="single"/>
          <w:lang w:val="fr-CA"/>
        </w:rPr>
        <w:t>(</w:t>
      </w:r>
      <w:r w:rsidR="00240723" w:rsidRPr="00986BEB">
        <w:rPr>
          <w:szCs w:val="24"/>
          <w:u w:val="single"/>
          <w:lang w:val="fr-CA"/>
        </w:rPr>
        <w:t>iii</w:t>
      </w:r>
      <w:r w:rsidR="00240723" w:rsidRPr="0059083D">
        <w:rPr>
          <w:szCs w:val="24"/>
          <w:u w:val="single"/>
          <w:lang w:val="fr-CA"/>
        </w:rPr>
        <w:t>)</w:t>
      </w:r>
      <w:r w:rsidR="00240723" w:rsidRPr="0059083D">
        <w:rPr>
          <w:szCs w:val="24"/>
          <w:lang w:val="fr-CA"/>
        </w:rPr>
        <w:t xml:space="preserve">, </w:t>
      </w:r>
      <w:r w:rsidR="00DC3200" w:rsidRPr="0059083D">
        <w:rPr>
          <w:szCs w:val="24"/>
          <w:lang w:val="fr-CA"/>
        </w:rPr>
        <w:t xml:space="preserve">les </w:t>
      </w:r>
      <w:r w:rsidR="00977C5C">
        <w:rPr>
          <w:szCs w:val="24"/>
          <w:lang w:val="fr-CA"/>
        </w:rPr>
        <w:t xml:space="preserve">engagements </w:t>
      </w:r>
      <w:r w:rsidR="00DC3200" w:rsidRPr="0059083D">
        <w:rPr>
          <w:szCs w:val="24"/>
          <w:lang w:val="fr-CA"/>
        </w:rPr>
        <w:t xml:space="preserve">prévus au </w:t>
      </w:r>
      <w:r w:rsidR="002A0F83" w:rsidRPr="0059083D">
        <w:rPr>
          <w:snapToGrid w:val="0"/>
          <w:u w:val="single"/>
          <w:lang w:val="fr-CA"/>
        </w:rPr>
        <w:t>paragraphe </w:t>
      </w:r>
      <w:r w:rsidR="00977C5C" w:rsidRPr="00986BEB">
        <w:rPr>
          <w:u w:val="single"/>
          <w:lang w:val="fr-CA"/>
        </w:rPr>
        <w:fldChar w:fldCharType="begin"/>
      </w:r>
      <w:r w:rsidR="00977C5C" w:rsidRPr="00986BEB">
        <w:rPr>
          <w:u w:val="single"/>
          <w:lang w:val="fr-CA"/>
        </w:rPr>
        <w:instrText xml:space="preserve"> REF _Ref119587812 \w \h </w:instrText>
      </w:r>
      <w:r w:rsidR="00977C5C" w:rsidRPr="00986BEB">
        <w:rPr>
          <w:u w:val="single"/>
          <w:lang w:val="fr-CA"/>
        </w:rPr>
      </w:r>
      <w:r w:rsidR="00977C5C" w:rsidRPr="00986BEB">
        <w:rPr>
          <w:u w:val="single"/>
          <w:lang w:val="fr-CA"/>
        </w:rPr>
        <w:fldChar w:fldCharType="separate"/>
      </w:r>
      <w:r w:rsidR="00AE1D96">
        <w:rPr>
          <w:u w:val="single"/>
          <w:lang w:val="fr-CA"/>
        </w:rPr>
        <w:t>3.1</w:t>
      </w:r>
      <w:r w:rsidR="00977C5C" w:rsidRPr="00986BEB">
        <w:rPr>
          <w:u w:val="single"/>
          <w:lang w:val="fr-CA"/>
        </w:rPr>
        <w:fldChar w:fldCharType="end"/>
      </w:r>
      <w:r w:rsidR="00240723" w:rsidRPr="0059083D">
        <w:rPr>
          <w:szCs w:val="24"/>
          <w:lang w:val="fr-CA"/>
        </w:rPr>
        <w:t xml:space="preserve"> </w:t>
      </w:r>
      <w:r w:rsidR="00DC3200" w:rsidRPr="0059083D">
        <w:rPr>
          <w:szCs w:val="24"/>
          <w:lang w:val="fr-CA"/>
        </w:rPr>
        <w:t>ne s’éteignent que si, lors de ce</w:t>
      </w:r>
      <w:r w:rsidR="00645C4F">
        <w:rPr>
          <w:szCs w:val="24"/>
          <w:lang w:val="fr-CA"/>
        </w:rPr>
        <w:t xml:space="preserve"> Cas de l</w:t>
      </w:r>
      <w:r w:rsidR="00DC3200" w:rsidRPr="0059083D">
        <w:rPr>
          <w:szCs w:val="24"/>
          <w:lang w:val="fr-CA"/>
        </w:rPr>
        <w:t xml:space="preserve">iquidation réputé, les Investisseurs ont reçu une contrepartie en espèces </w:t>
      </w:r>
      <w:bookmarkEnd w:id="280"/>
      <w:r w:rsidR="000B08F2" w:rsidRPr="0059083D">
        <w:rPr>
          <w:szCs w:val="24"/>
          <w:lang w:val="fr-CA"/>
        </w:rPr>
        <w:t xml:space="preserve">et/ou </w:t>
      </w:r>
      <w:r w:rsidR="00DC3200" w:rsidRPr="0059083D">
        <w:rPr>
          <w:szCs w:val="24"/>
          <w:lang w:val="fr-CA"/>
        </w:rPr>
        <w:t xml:space="preserve">en titres cotés en bourse ou si les </w:t>
      </w:r>
      <w:r w:rsidR="000B08F2" w:rsidRPr="0059083D">
        <w:rPr>
          <w:szCs w:val="24"/>
          <w:lang w:val="fr-CA"/>
        </w:rPr>
        <w:t>Investisseurs</w:t>
      </w:r>
      <w:r w:rsidR="00240723" w:rsidRPr="0059083D">
        <w:rPr>
          <w:szCs w:val="24"/>
          <w:lang w:val="fr-CA"/>
        </w:rPr>
        <w:t xml:space="preserve"> </w:t>
      </w:r>
      <w:r w:rsidR="00DC3200" w:rsidRPr="0059083D">
        <w:rPr>
          <w:szCs w:val="24"/>
          <w:lang w:val="fr-CA"/>
        </w:rPr>
        <w:t xml:space="preserve">reçoivent de la société qui acquiert ou remplace la Société de l’information financière comparable à celle qui est prévue au </w:t>
      </w:r>
      <w:r w:rsidR="002A0F83" w:rsidRPr="0059083D">
        <w:rPr>
          <w:snapToGrid w:val="0"/>
          <w:u w:val="single"/>
          <w:lang w:val="fr-CA"/>
        </w:rPr>
        <w:t>paragraphe </w:t>
      </w:r>
      <w:r w:rsidR="00977C5C" w:rsidRPr="00986BEB">
        <w:rPr>
          <w:u w:val="single"/>
          <w:lang w:val="fr-CA"/>
        </w:rPr>
        <w:fldChar w:fldCharType="begin"/>
      </w:r>
      <w:r w:rsidR="00977C5C" w:rsidRPr="00986BEB">
        <w:rPr>
          <w:u w:val="single"/>
          <w:lang w:val="fr-CA"/>
        </w:rPr>
        <w:instrText xml:space="preserve"> REF _Ref119587812 \w \h </w:instrText>
      </w:r>
      <w:r w:rsidR="00977C5C" w:rsidRPr="00986BEB">
        <w:rPr>
          <w:u w:val="single"/>
          <w:lang w:val="fr-CA"/>
        </w:rPr>
      </w:r>
      <w:r w:rsidR="00977C5C" w:rsidRPr="00986BEB">
        <w:rPr>
          <w:u w:val="single"/>
          <w:lang w:val="fr-CA"/>
        </w:rPr>
        <w:fldChar w:fldCharType="separate"/>
      </w:r>
      <w:r w:rsidR="00AE1D96">
        <w:rPr>
          <w:u w:val="single"/>
          <w:lang w:val="fr-CA"/>
        </w:rPr>
        <w:t>3.1</w:t>
      </w:r>
      <w:r w:rsidR="00977C5C" w:rsidRPr="00986BEB">
        <w:rPr>
          <w:u w:val="single"/>
          <w:lang w:val="fr-CA"/>
        </w:rPr>
        <w:fldChar w:fldCharType="end"/>
      </w:r>
      <w:r w:rsidR="00240723" w:rsidRPr="0059083D">
        <w:rPr>
          <w:szCs w:val="24"/>
          <w:lang w:val="fr-CA"/>
        </w:rPr>
        <w:t>]</w:t>
      </w:r>
      <w:r w:rsidR="000B08F2" w:rsidRPr="0059083D">
        <w:rPr>
          <w:snapToGrid w:val="0"/>
          <w:lang w:val="fr-CA"/>
        </w:rPr>
        <w:t>.</w:t>
      </w:r>
    </w:p>
    <w:p w14:paraId="06B698DE" w14:textId="3628F33D" w:rsidR="00037C7E" w:rsidRPr="00986BEB" w:rsidRDefault="000B08F2">
      <w:pPr>
        <w:pStyle w:val="StandardL2"/>
        <w:rPr>
          <w:lang w:val="fr-CA"/>
        </w:rPr>
      </w:pPr>
      <w:bookmarkStart w:id="281" w:name="_Ref448380625"/>
      <w:bookmarkStart w:id="282" w:name="_Toc132874738"/>
      <w:r w:rsidRPr="009D4254">
        <w:rPr>
          <w:lang w:val="fr-CA"/>
        </w:rPr>
        <w:t>Confidentialit</w:t>
      </w:r>
      <w:r w:rsidR="00DC3200" w:rsidRPr="009D4254">
        <w:rPr>
          <w:lang w:val="fr-CA"/>
        </w:rPr>
        <w:t>é</w:t>
      </w:r>
      <w:r w:rsidRPr="009D4254">
        <w:rPr>
          <w:snapToGrid w:val="0"/>
          <w:lang w:val="fr-CA"/>
        </w:rPr>
        <w:t>.</w:t>
      </w:r>
      <w:bookmarkEnd w:id="281"/>
      <w:bookmarkEnd w:id="282"/>
    </w:p>
    <w:p w14:paraId="253182CC" w14:textId="0308552B" w:rsidR="00DC3200" w:rsidRPr="009D4254" w:rsidRDefault="00DC3200" w:rsidP="00900B19">
      <w:pPr>
        <w:pStyle w:val="StandardCont2"/>
        <w:rPr>
          <w:snapToGrid w:val="0"/>
          <w:szCs w:val="24"/>
          <w:lang w:val="fr-CA"/>
        </w:rPr>
      </w:pPr>
      <w:r w:rsidRPr="009D4254">
        <w:rPr>
          <w:snapToGrid w:val="0"/>
          <w:szCs w:val="24"/>
          <w:lang w:val="fr-CA"/>
        </w:rPr>
        <w:t xml:space="preserve">Chaque </w:t>
      </w:r>
      <w:r w:rsidR="000F37C7" w:rsidRPr="009D4254">
        <w:rPr>
          <w:snapToGrid w:val="0"/>
          <w:szCs w:val="24"/>
          <w:lang w:val="fr-CA"/>
        </w:rPr>
        <w:t>Investisseur</w:t>
      </w:r>
      <w:r w:rsidR="000B08F2" w:rsidRPr="009D4254">
        <w:rPr>
          <w:snapToGrid w:val="0"/>
          <w:szCs w:val="24"/>
          <w:lang w:val="fr-CA"/>
        </w:rPr>
        <w:t xml:space="preserve"> </w:t>
      </w:r>
      <w:r w:rsidRPr="009D4254">
        <w:rPr>
          <w:snapToGrid w:val="0"/>
          <w:szCs w:val="24"/>
          <w:lang w:val="fr-CA"/>
        </w:rPr>
        <w:t xml:space="preserve">s’engage à garder confidentiel et à ne pas communiquer, divulguer ni utiliser à quelque fin que ce soit </w:t>
      </w:r>
      <w:r w:rsidR="000B08F2" w:rsidRPr="009D4254">
        <w:rPr>
          <w:snapToGrid w:val="0"/>
          <w:szCs w:val="24"/>
          <w:lang w:val="fr-CA"/>
        </w:rPr>
        <w:t>(</w:t>
      </w:r>
      <w:r w:rsidRPr="009D4254">
        <w:rPr>
          <w:snapToGrid w:val="0"/>
          <w:szCs w:val="24"/>
          <w:lang w:val="fr-CA"/>
        </w:rPr>
        <w:t>sauf pour surveiller son investissement dans la Société ou prendre des décisions à cet égard</w:t>
      </w:r>
      <w:r w:rsidR="000B08F2" w:rsidRPr="009D4254">
        <w:rPr>
          <w:snapToGrid w:val="0"/>
          <w:szCs w:val="24"/>
          <w:lang w:val="fr-CA"/>
        </w:rPr>
        <w:t xml:space="preserve">) </w:t>
      </w:r>
      <w:r w:rsidRPr="009D4254">
        <w:rPr>
          <w:snapToGrid w:val="0"/>
          <w:szCs w:val="24"/>
          <w:lang w:val="fr-CA"/>
        </w:rPr>
        <w:t xml:space="preserve">tout renseignement confidentiel obtenu de </w:t>
      </w:r>
      <w:r w:rsidR="000B08F2" w:rsidRPr="009D4254">
        <w:rPr>
          <w:snapToGrid w:val="0"/>
          <w:szCs w:val="24"/>
          <w:lang w:val="fr-CA"/>
        </w:rPr>
        <w:t xml:space="preserve">la Société </w:t>
      </w:r>
      <w:r w:rsidRPr="009D4254">
        <w:rPr>
          <w:snapToGrid w:val="0"/>
          <w:szCs w:val="24"/>
          <w:lang w:val="fr-CA"/>
        </w:rPr>
        <w:t xml:space="preserve">conformément aux modalités de </w:t>
      </w:r>
      <w:r w:rsidR="000B08F2" w:rsidRPr="009D4254">
        <w:rPr>
          <w:snapToGrid w:val="0"/>
          <w:szCs w:val="24"/>
          <w:lang w:val="fr-CA"/>
        </w:rPr>
        <w:t>la présente Convention (</w:t>
      </w:r>
      <w:r w:rsidRPr="009D4254">
        <w:rPr>
          <w:snapToGrid w:val="0"/>
          <w:szCs w:val="24"/>
          <w:lang w:val="fr-CA"/>
        </w:rPr>
        <w:t xml:space="preserve">notamment tout avis de l’intention de </w:t>
      </w:r>
      <w:r w:rsidR="000B08F2" w:rsidRPr="009D4254">
        <w:rPr>
          <w:snapToGrid w:val="0"/>
          <w:szCs w:val="24"/>
          <w:lang w:val="fr-CA"/>
        </w:rPr>
        <w:t>la Société</w:t>
      </w:r>
      <w:r w:rsidRPr="009D4254">
        <w:rPr>
          <w:snapToGrid w:val="0"/>
          <w:szCs w:val="24"/>
          <w:lang w:val="fr-CA"/>
        </w:rPr>
        <w:t xml:space="preserve"> de déposer une </w:t>
      </w:r>
      <w:r w:rsidR="002A0F83" w:rsidRPr="009D4254">
        <w:rPr>
          <w:snapToGrid w:val="0"/>
          <w:szCs w:val="24"/>
          <w:lang w:val="fr-CA"/>
        </w:rPr>
        <w:t>déclaration d’inscription</w:t>
      </w:r>
      <w:r w:rsidR="000B08F2" w:rsidRPr="009D4254">
        <w:rPr>
          <w:snapToGrid w:val="0"/>
          <w:szCs w:val="24"/>
          <w:lang w:val="fr-CA"/>
        </w:rPr>
        <w:t xml:space="preserve">), </w:t>
      </w:r>
      <w:r w:rsidRPr="009D4254">
        <w:rPr>
          <w:snapToGrid w:val="0"/>
          <w:szCs w:val="24"/>
          <w:lang w:val="fr-CA"/>
        </w:rPr>
        <w:t xml:space="preserve">sauf si ce renseignement confidentiel </w:t>
      </w:r>
      <w:bookmarkStart w:id="283" w:name="DocXTextRef227"/>
      <w:r w:rsidR="000B08F2" w:rsidRPr="00986BEB">
        <w:rPr>
          <w:snapToGrid w:val="0"/>
          <w:szCs w:val="24"/>
          <w:lang w:val="fr-CA"/>
        </w:rPr>
        <w:t>a</w:t>
      </w:r>
      <w:r w:rsidR="000B08F2" w:rsidRPr="009D4254">
        <w:rPr>
          <w:snapToGrid w:val="0"/>
          <w:szCs w:val="24"/>
          <w:lang w:val="fr-CA"/>
        </w:rPr>
        <w:t>)</w:t>
      </w:r>
      <w:bookmarkEnd w:id="283"/>
      <w:r w:rsidRPr="009D4254">
        <w:rPr>
          <w:snapToGrid w:val="0"/>
          <w:szCs w:val="24"/>
          <w:lang w:val="fr-CA"/>
        </w:rPr>
        <w:t xml:space="preserve"> est ou devient </w:t>
      </w:r>
      <w:r w:rsidR="0007367B">
        <w:rPr>
          <w:snapToGrid w:val="0"/>
          <w:szCs w:val="24"/>
          <w:lang w:val="fr-CA"/>
        </w:rPr>
        <w:t xml:space="preserve">généralement </w:t>
      </w:r>
      <w:r w:rsidRPr="009D4254">
        <w:rPr>
          <w:snapToGrid w:val="0"/>
          <w:szCs w:val="24"/>
          <w:lang w:val="fr-CA"/>
        </w:rPr>
        <w:t xml:space="preserve">connu du public (autrement qu’en raison d’une violation du présent </w:t>
      </w:r>
      <w:r w:rsidRPr="009D4254">
        <w:rPr>
          <w:snapToGrid w:val="0"/>
          <w:szCs w:val="24"/>
          <w:u w:val="single"/>
          <w:lang w:val="fr-CA"/>
        </w:rPr>
        <w:t>paragraphe </w:t>
      </w:r>
      <w:r w:rsidRPr="00986BEB">
        <w:rPr>
          <w:snapToGrid w:val="0"/>
          <w:szCs w:val="24"/>
          <w:u w:val="single"/>
          <w:lang w:val="fr-CA"/>
        </w:rPr>
        <w:fldChar w:fldCharType="begin"/>
      </w:r>
      <w:r w:rsidRPr="00986BEB">
        <w:rPr>
          <w:snapToGrid w:val="0"/>
          <w:szCs w:val="24"/>
          <w:u w:val="single"/>
          <w:lang w:val="fr-CA"/>
        </w:rPr>
        <w:instrText xml:space="preserve">  REF _Ref448380625 \w \h \* MERGEFORMAT </w:instrText>
      </w:r>
      <w:r w:rsidRPr="00986BEB">
        <w:rPr>
          <w:snapToGrid w:val="0"/>
          <w:szCs w:val="24"/>
          <w:u w:val="single"/>
          <w:lang w:val="fr-CA"/>
        </w:rPr>
      </w:r>
      <w:r w:rsidRPr="00986BEB">
        <w:rPr>
          <w:snapToGrid w:val="0"/>
          <w:szCs w:val="24"/>
          <w:u w:val="single"/>
          <w:lang w:val="fr-CA"/>
        </w:rPr>
        <w:fldChar w:fldCharType="separate"/>
      </w:r>
      <w:r w:rsidR="00AE1D96" w:rsidRPr="00AE1D96">
        <w:rPr>
          <w:snapToGrid w:val="0"/>
          <w:color w:val="000000"/>
          <w:szCs w:val="24"/>
          <w:u w:val="single"/>
          <w:lang w:val="fr-CA"/>
        </w:rPr>
        <w:t>3.5</w:t>
      </w:r>
      <w:r w:rsidRPr="00986BEB">
        <w:rPr>
          <w:snapToGrid w:val="0"/>
          <w:szCs w:val="24"/>
          <w:u w:val="single"/>
          <w:lang w:val="fr-CA"/>
        </w:rPr>
        <w:fldChar w:fldCharType="end"/>
      </w:r>
      <w:r w:rsidRPr="009D4254">
        <w:rPr>
          <w:snapToGrid w:val="0"/>
          <w:szCs w:val="24"/>
          <w:lang w:val="fr-CA"/>
        </w:rPr>
        <w:t xml:space="preserve"> par cet Investisseur), </w:t>
      </w:r>
      <w:bookmarkStart w:id="284" w:name="DocXTextRef228"/>
      <w:r w:rsidRPr="00986BEB">
        <w:rPr>
          <w:snapToGrid w:val="0"/>
          <w:szCs w:val="24"/>
          <w:lang w:val="fr-CA"/>
        </w:rPr>
        <w:t>b</w:t>
      </w:r>
      <w:r w:rsidRPr="009D4254">
        <w:rPr>
          <w:snapToGrid w:val="0"/>
          <w:szCs w:val="24"/>
          <w:lang w:val="fr-CA"/>
        </w:rPr>
        <w:t>)</w:t>
      </w:r>
      <w:bookmarkEnd w:id="284"/>
      <w:r w:rsidRPr="009D4254">
        <w:rPr>
          <w:snapToGrid w:val="0"/>
          <w:szCs w:val="24"/>
          <w:lang w:val="fr-CA"/>
        </w:rPr>
        <w:t> </w:t>
      </w:r>
      <w:r w:rsidRPr="0059083D">
        <w:rPr>
          <w:color w:val="000000"/>
          <w:szCs w:val="24"/>
          <w:lang w:val="fr-CA"/>
        </w:rPr>
        <w:t xml:space="preserve">est ou a été élaboré ou conçu de manière indépendante par cet Investisseur sans recours aux renseignements confidentiels de la Société, ou </w:t>
      </w:r>
      <w:r w:rsidRPr="00986BEB">
        <w:rPr>
          <w:color w:val="000000"/>
          <w:szCs w:val="24"/>
          <w:lang w:val="fr-CA"/>
        </w:rPr>
        <w:t>c</w:t>
      </w:r>
      <w:r w:rsidRPr="0059083D">
        <w:rPr>
          <w:color w:val="000000"/>
          <w:szCs w:val="24"/>
          <w:lang w:val="fr-CA"/>
        </w:rPr>
        <w:t>) est ou a été communiqué à l’Investisseur ou porté à sa connaissance par un tiers sans violation d’une obligation de confidentialité de ce tiers envers la Société</w:t>
      </w:r>
      <w:r w:rsidR="00556214">
        <w:rPr>
          <w:color w:val="000000"/>
          <w:szCs w:val="24"/>
          <w:lang w:val="fr-CA"/>
        </w:rPr>
        <w:t xml:space="preserve">; il est </w:t>
      </w:r>
      <w:r w:rsidRPr="0059083D">
        <w:rPr>
          <w:color w:val="000000"/>
          <w:szCs w:val="24"/>
          <w:lang w:val="fr-CA"/>
        </w:rPr>
        <w:t>entendu, toutefois, qu’un Investisseur peut communiquer des renseignements confidentiels (</w:t>
      </w:r>
      <w:r w:rsidRPr="00986BEB">
        <w:rPr>
          <w:color w:val="000000"/>
          <w:szCs w:val="24"/>
          <w:lang w:val="fr-CA"/>
        </w:rPr>
        <w:t>i</w:t>
      </w:r>
      <w:r w:rsidRPr="0059083D">
        <w:rPr>
          <w:color w:val="000000"/>
          <w:szCs w:val="24"/>
          <w:lang w:val="fr-CA"/>
        </w:rPr>
        <w:t>) à ses avocats, comptables et consultants et à d’autres professionnels dans la mesure raisonnablement nécessaire pour obtenir leurs services dans le cadre de la surveillance de son investissement dans la Société; (</w:t>
      </w:r>
      <w:r w:rsidRPr="00986BEB">
        <w:rPr>
          <w:color w:val="000000"/>
          <w:szCs w:val="24"/>
          <w:lang w:val="fr-CA"/>
        </w:rPr>
        <w:t>ii</w:t>
      </w:r>
      <w:r w:rsidRPr="0059083D">
        <w:rPr>
          <w:color w:val="000000"/>
          <w:szCs w:val="24"/>
          <w:lang w:val="fr-CA"/>
        </w:rPr>
        <w:t xml:space="preserve">) à un acheteur éventuel de Titres à inscrire de l’Investisseur, si cet acheteur éventuel accepte d’être lié par les dispositions du présent </w:t>
      </w:r>
      <w:r w:rsidRPr="009D4254">
        <w:rPr>
          <w:snapToGrid w:val="0"/>
          <w:szCs w:val="24"/>
          <w:u w:val="single"/>
          <w:lang w:val="fr-CA"/>
        </w:rPr>
        <w:t>paragraphe </w:t>
      </w:r>
      <w:r w:rsidRPr="00986BEB">
        <w:rPr>
          <w:snapToGrid w:val="0"/>
          <w:szCs w:val="24"/>
          <w:u w:val="single"/>
          <w:lang w:val="fr-CA"/>
        </w:rPr>
        <w:fldChar w:fldCharType="begin"/>
      </w:r>
      <w:r w:rsidRPr="00986BEB">
        <w:rPr>
          <w:snapToGrid w:val="0"/>
          <w:szCs w:val="24"/>
          <w:u w:val="single"/>
          <w:lang w:val="fr-CA"/>
        </w:rPr>
        <w:instrText xml:space="preserve">  REF _Ref448380625 \w \h \* MERGEFORMAT </w:instrText>
      </w:r>
      <w:r w:rsidRPr="00986BEB">
        <w:rPr>
          <w:snapToGrid w:val="0"/>
          <w:szCs w:val="24"/>
          <w:u w:val="single"/>
          <w:lang w:val="fr-CA"/>
        </w:rPr>
      </w:r>
      <w:r w:rsidRPr="00986BEB">
        <w:rPr>
          <w:snapToGrid w:val="0"/>
          <w:szCs w:val="24"/>
          <w:u w:val="single"/>
          <w:lang w:val="fr-CA"/>
        </w:rPr>
        <w:fldChar w:fldCharType="separate"/>
      </w:r>
      <w:r w:rsidR="00AE1D96" w:rsidRPr="00AE1D96">
        <w:rPr>
          <w:snapToGrid w:val="0"/>
          <w:color w:val="000000"/>
          <w:szCs w:val="24"/>
          <w:u w:val="single"/>
          <w:lang w:val="fr-CA"/>
        </w:rPr>
        <w:t>3.5</w:t>
      </w:r>
      <w:r w:rsidRPr="00986BEB">
        <w:rPr>
          <w:snapToGrid w:val="0"/>
          <w:szCs w:val="24"/>
          <w:u w:val="single"/>
          <w:lang w:val="fr-CA"/>
        </w:rPr>
        <w:fldChar w:fldCharType="end"/>
      </w:r>
      <w:bookmarkStart w:id="285" w:name="_Ref448380713"/>
      <w:r w:rsidRPr="00986BEB">
        <w:rPr>
          <w:rStyle w:val="FootnoteReference"/>
          <w:snapToGrid w:val="0"/>
          <w:szCs w:val="24"/>
          <w:lang w:val="fr-CA"/>
        </w:rPr>
        <w:footnoteReference w:id="44"/>
      </w:r>
      <w:bookmarkEnd w:id="285"/>
      <w:r w:rsidRPr="009D4254">
        <w:rPr>
          <w:snapToGrid w:val="0"/>
          <w:szCs w:val="24"/>
          <w:lang w:val="fr-CA"/>
        </w:rPr>
        <w:t xml:space="preserve">; </w:t>
      </w:r>
      <w:r w:rsidRPr="0059083D">
        <w:rPr>
          <w:color w:val="000000"/>
          <w:szCs w:val="24"/>
          <w:lang w:val="fr-CA"/>
        </w:rPr>
        <w:t>(</w:t>
      </w:r>
      <w:r w:rsidRPr="00986BEB">
        <w:rPr>
          <w:color w:val="000000"/>
          <w:szCs w:val="24"/>
          <w:lang w:val="fr-CA"/>
        </w:rPr>
        <w:t>iii</w:t>
      </w:r>
      <w:r w:rsidRPr="0059083D">
        <w:rPr>
          <w:color w:val="000000"/>
          <w:szCs w:val="24"/>
          <w:lang w:val="fr-CA"/>
        </w:rPr>
        <w:t xml:space="preserve">) à tout Membre du même groupe que cet Investisseur ou à tout associé, membre ou actionnaire de l’Investisseur </w:t>
      </w:r>
      <w:r w:rsidR="009D16DF">
        <w:rPr>
          <w:color w:val="000000"/>
          <w:szCs w:val="24"/>
          <w:lang w:val="fr-CA"/>
        </w:rPr>
        <w:t>[</w:t>
      </w:r>
      <w:r w:rsidR="009D16DF" w:rsidRPr="0059083D">
        <w:rPr>
          <w:color w:val="000000"/>
          <w:szCs w:val="24"/>
          <w:lang w:val="fr-CA"/>
        </w:rPr>
        <w:t>existants ou éventuels</w:t>
      </w:r>
      <w:bookmarkStart w:id="286" w:name="_Ref448380714"/>
      <w:r w:rsidR="009D16DF" w:rsidRPr="00986BEB">
        <w:rPr>
          <w:rStyle w:val="FootnoteReference"/>
          <w:rFonts w:eastAsiaTheme="majorEastAsia"/>
          <w:snapToGrid w:val="0"/>
          <w:szCs w:val="16"/>
        </w:rPr>
        <w:footnoteReference w:id="45"/>
      </w:r>
      <w:bookmarkEnd w:id="286"/>
      <w:r w:rsidR="009D16DF">
        <w:rPr>
          <w:color w:val="000000"/>
          <w:szCs w:val="24"/>
          <w:lang w:val="fr-CA"/>
        </w:rPr>
        <w:t xml:space="preserve">], </w:t>
      </w:r>
      <w:r w:rsidRPr="0059083D">
        <w:rPr>
          <w:color w:val="000000"/>
          <w:szCs w:val="24"/>
          <w:lang w:val="fr-CA"/>
        </w:rPr>
        <w:t>ou à toute filiale en propriété exclusive de l’Investisseur dans le cours normal des activités, à condition que l’Investisseur informe cette Personne que ces renseignements sont confidentiels et lui ordonne d’en préserver la confidentialité; ou (</w:t>
      </w:r>
      <w:r w:rsidRPr="00986BEB">
        <w:rPr>
          <w:color w:val="000000"/>
          <w:szCs w:val="24"/>
          <w:lang w:val="fr-CA"/>
        </w:rPr>
        <w:t>iv</w:t>
      </w:r>
      <w:r w:rsidRPr="0059083D">
        <w:rPr>
          <w:color w:val="000000"/>
          <w:szCs w:val="24"/>
          <w:lang w:val="fr-CA"/>
        </w:rPr>
        <w:t>) </w:t>
      </w:r>
      <w:r w:rsidR="001078DF">
        <w:rPr>
          <w:color w:val="000000"/>
          <w:szCs w:val="24"/>
          <w:lang w:val="fr-CA"/>
        </w:rPr>
        <w:t xml:space="preserve">pour se conformer </w:t>
      </w:r>
      <w:r w:rsidRPr="0059083D">
        <w:rPr>
          <w:color w:val="000000"/>
          <w:szCs w:val="24"/>
          <w:lang w:val="fr-CA"/>
        </w:rPr>
        <w:t xml:space="preserve">par ailleurs </w:t>
      </w:r>
      <w:r w:rsidR="001078DF">
        <w:rPr>
          <w:color w:val="000000"/>
          <w:szCs w:val="24"/>
          <w:lang w:val="fr-CA"/>
        </w:rPr>
        <w:t>aux exigences d’</w:t>
      </w:r>
      <w:r w:rsidRPr="0059083D">
        <w:rPr>
          <w:color w:val="000000"/>
          <w:szCs w:val="24"/>
          <w:lang w:val="fr-CA"/>
        </w:rPr>
        <w:t xml:space="preserve">une loi, </w:t>
      </w:r>
      <w:r w:rsidR="001078DF">
        <w:rPr>
          <w:color w:val="000000"/>
          <w:szCs w:val="24"/>
          <w:lang w:val="fr-CA"/>
        </w:rPr>
        <w:t>d’</w:t>
      </w:r>
      <w:r w:rsidRPr="0059083D">
        <w:rPr>
          <w:color w:val="000000"/>
          <w:szCs w:val="24"/>
          <w:lang w:val="fr-CA"/>
        </w:rPr>
        <w:t xml:space="preserve">un règlement, </w:t>
      </w:r>
      <w:r w:rsidR="001078DF">
        <w:rPr>
          <w:color w:val="000000"/>
          <w:szCs w:val="24"/>
          <w:lang w:val="fr-CA"/>
        </w:rPr>
        <w:t>d’</w:t>
      </w:r>
      <w:r w:rsidRPr="0059083D">
        <w:rPr>
          <w:color w:val="000000"/>
          <w:szCs w:val="24"/>
          <w:lang w:val="fr-CA"/>
        </w:rPr>
        <w:t xml:space="preserve">une règle, </w:t>
      </w:r>
      <w:r w:rsidR="001078DF">
        <w:rPr>
          <w:color w:val="000000"/>
          <w:szCs w:val="24"/>
          <w:lang w:val="fr-CA"/>
        </w:rPr>
        <w:t>d’</w:t>
      </w:r>
      <w:r w:rsidRPr="0059083D">
        <w:rPr>
          <w:color w:val="000000"/>
          <w:szCs w:val="24"/>
          <w:lang w:val="fr-CA"/>
        </w:rPr>
        <w:t xml:space="preserve">une ordonnance d’un tribunal ou </w:t>
      </w:r>
      <w:r w:rsidR="001078DF">
        <w:rPr>
          <w:color w:val="000000"/>
          <w:szCs w:val="24"/>
          <w:lang w:val="fr-CA"/>
        </w:rPr>
        <w:t>d’</w:t>
      </w:r>
      <w:r w:rsidRPr="0059083D">
        <w:rPr>
          <w:color w:val="000000"/>
          <w:szCs w:val="24"/>
          <w:lang w:val="fr-CA"/>
        </w:rPr>
        <w:t xml:space="preserve">une citation à comparaître, à condition que l’Investisseur </w:t>
      </w:r>
      <w:r w:rsidR="009D16DF">
        <w:rPr>
          <w:color w:val="000000"/>
          <w:szCs w:val="24"/>
          <w:lang w:val="fr-CA"/>
        </w:rPr>
        <w:t xml:space="preserve">en </w:t>
      </w:r>
      <w:r w:rsidRPr="0059083D">
        <w:rPr>
          <w:color w:val="000000"/>
          <w:szCs w:val="24"/>
          <w:lang w:val="fr-CA"/>
        </w:rPr>
        <w:t>avise rapidement la Société et prenne des mesures raisonnables pour réduire au minimum la portée des renseignements communiqués.</w:t>
      </w:r>
    </w:p>
    <w:p w14:paraId="4A1E624E" w14:textId="4310371C" w:rsidR="00900B19" w:rsidRPr="00986BEB" w:rsidRDefault="00BF20BB" w:rsidP="00900B19">
      <w:pPr>
        <w:pStyle w:val="StandardL2"/>
        <w:rPr>
          <w:lang w:val="fr-CA"/>
        </w:rPr>
      </w:pPr>
      <w:bookmarkStart w:id="287" w:name="_Toc132874739"/>
      <w:r w:rsidRPr="009D4254">
        <w:rPr>
          <w:lang w:val="fr-CA"/>
        </w:rPr>
        <w:t>Renonciation aux droits à l’information prévus par la loi</w:t>
      </w:r>
      <w:r w:rsidR="000B08F2" w:rsidRPr="009D4254">
        <w:rPr>
          <w:snapToGrid w:val="0"/>
          <w:lang w:val="fr-CA"/>
        </w:rPr>
        <w:t>.</w:t>
      </w:r>
      <w:bookmarkEnd w:id="287"/>
      <w:r w:rsidR="00A32693">
        <w:rPr>
          <w:snapToGrid w:val="0"/>
          <w:lang w:val="fr-CA"/>
        </w:rPr>
        <w:t xml:space="preserve"> </w:t>
      </w:r>
    </w:p>
    <w:p w14:paraId="0AAE1EB5" w14:textId="72902A46" w:rsidR="00900B19" w:rsidRPr="0059083D" w:rsidRDefault="00BF20BB" w:rsidP="00900B19">
      <w:pPr>
        <w:pStyle w:val="StandardCont2"/>
        <w:rPr>
          <w:snapToGrid w:val="0"/>
          <w:lang w:val="fr-CA"/>
        </w:rPr>
      </w:pPr>
      <w:r w:rsidRPr="0059083D">
        <w:rPr>
          <w:lang w:val="fr-CA"/>
        </w:rPr>
        <w:t xml:space="preserve">Chaque </w:t>
      </w:r>
      <w:r w:rsidR="000F37C7" w:rsidRPr="0059083D">
        <w:rPr>
          <w:lang w:val="fr-CA"/>
        </w:rPr>
        <w:t>Investisseur</w:t>
      </w:r>
      <w:r w:rsidR="000B08F2" w:rsidRPr="0059083D">
        <w:rPr>
          <w:lang w:val="fr-CA"/>
        </w:rPr>
        <w:t xml:space="preserve"> </w:t>
      </w:r>
      <w:r w:rsidRPr="0059083D">
        <w:rPr>
          <w:lang w:val="fr-CA"/>
        </w:rPr>
        <w:t xml:space="preserve">reconnaît et convient par les présentes qu’avant la réalisation du PAPE, il est réputé </w:t>
      </w:r>
      <w:r w:rsidR="00DC2700">
        <w:rPr>
          <w:lang w:val="fr-CA"/>
        </w:rPr>
        <w:t xml:space="preserve">par les présentes </w:t>
      </w:r>
      <w:r w:rsidRPr="0059083D">
        <w:rPr>
          <w:lang w:val="fr-CA"/>
        </w:rPr>
        <w:t xml:space="preserve">avoir renoncé inconditionnellement et irrévocablement, dans la pleine mesure permise par la loi, en son nom et au nom de tous les propriétaires véritables des </w:t>
      </w:r>
      <w:r w:rsidR="000B08F2" w:rsidRPr="0059083D">
        <w:rPr>
          <w:lang w:val="fr-CA"/>
        </w:rPr>
        <w:t xml:space="preserve">Actions ordinaires </w:t>
      </w:r>
      <w:r w:rsidRPr="0059083D">
        <w:rPr>
          <w:lang w:val="fr-CA"/>
        </w:rPr>
        <w:t xml:space="preserve">ou des </w:t>
      </w:r>
      <w:r w:rsidR="004B6285" w:rsidRPr="0059083D">
        <w:rPr>
          <w:lang w:val="fr-CA"/>
        </w:rPr>
        <w:t>Actions privilégiées [de catégorie A]</w:t>
      </w:r>
      <w:r w:rsidR="000B08F2" w:rsidRPr="0059083D">
        <w:rPr>
          <w:lang w:val="fr-CA"/>
        </w:rPr>
        <w:t xml:space="preserve"> </w:t>
      </w:r>
      <w:r w:rsidRPr="0059083D">
        <w:rPr>
          <w:lang w:val="fr-CA"/>
        </w:rPr>
        <w:t xml:space="preserve">dont il est propriétaire </w:t>
      </w:r>
      <w:r w:rsidR="000B08F2" w:rsidRPr="0059083D">
        <w:rPr>
          <w:lang w:val="fr-CA"/>
        </w:rPr>
        <w:t>(</w:t>
      </w:r>
      <w:r w:rsidRPr="0059083D">
        <w:rPr>
          <w:lang w:val="fr-CA"/>
        </w:rPr>
        <w:t xml:space="preserve">un </w:t>
      </w:r>
      <w:r w:rsidR="000B08F2" w:rsidRPr="0059083D">
        <w:rPr>
          <w:lang w:val="fr-CA"/>
        </w:rPr>
        <w:t>« </w:t>
      </w:r>
      <w:r w:rsidRPr="0059083D">
        <w:rPr>
          <w:b/>
          <w:szCs w:val="24"/>
          <w:lang w:val="fr-CA"/>
        </w:rPr>
        <w:t>Propriétaire véritable</w:t>
      </w:r>
      <w:r w:rsidR="000B08F2" w:rsidRPr="0059083D">
        <w:rPr>
          <w:szCs w:val="24"/>
          <w:lang w:val="fr-CA"/>
        </w:rPr>
        <w:t xml:space="preserve"> »), </w:t>
      </w:r>
      <w:r w:rsidRPr="0059083D">
        <w:rPr>
          <w:szCs w:val="24"/>
          <w:lang w:val="fr-CA"/>
        </w:rPr>
        <w:t xml:space="preserve">à tout droit que cet </w:t>
      </w:r>
      <w:r w:rsidR="000F37C7" w:rsidRPr="0059083D">
        <w:rPr>
          <w:szCs w:val="24"/>
          <w:lang w:val="fr-CA"/>
        </w:rPr>
        <w:t>Investisseur</w:t>
      </w:r>
      <w:r w:rsidR="000B08F2" w:rsidRPr="0059083D">
        <w:rPr>
          <w:szCs w:val="24"/>
          <w:lang w:val="fr-CA"/>
        </w:rPr>
        <w:t xml:space="preserve"> </w:t>
      </w:r>
      <w:r w:rsidRPr="0059083D">
        <w:rPr>
          <w:szCs w:val="24"/>
          <w:lang w:val="fr-CA"/>
        </w:rPr>
        <w:t>ou un Propriétaire véritable</w:t>
      </w:r>
      <w:r w:rsidR="000B08F2" w:rsidRPr="0059083D">
        <w:rPr>
          <w:szCs w:val="24"/>
          <w:lang w:val="fr-CA"/>
        </w:rPr>
        <w:t xml:space="preserve"> </w:t>
      </w:r>
      <w:r w:rsidRPr="0059083D">
        <w:rPr>
          <w:szCs w:val="24"/>
          <w:lang w:val="fr-CA"/>
        </w:rPr>
        <w:t xml:space="preserve">pourrait par ailleurs avoir en vertu de la Loi </w:t>
      </w:r>
      <w:r w:rsidR="000B08F2" w:rsidRPr="0059083D">
        <w:rPr>
          <w:szCs w:val="24"/>
          <w:lang w:val="fr-CA"/>
        </w:rPr>
        <w:t>(</w:t>
      </w:r>
      <w:r w:rsidRPr="0059083D">
        <w:rPr>
          <w:szCs w:val="24"/>
          <w:lang w:val="fr-CA"/>
        </w:rPr>
        <w:t xml:space="preserve">ou à tout droit semblable prévu par </w:t>
      </w:r>
      <w:r w:rsidR="00C36125">
        <w:rPr>
          <w:szCs w:val="24"/>
          <w:lang w:val="fr-CA"/>
        </w:rPr>
        <w:t>d’</w:t>
      </w:r>
      <w:r w:rsidRPr="0059083D">
        <w:rPr>
          <w:szCs w:val="24"/>
          <w:lang w:val="fr-CA"/>
        </w:rPr>
        <w:t>autres lois applicables</w:t>
      </w:r>
      <w:r w:rsidR="000B08F2" w:rsidRPr="0059083D">
        <w:rPr>
          <w:szCs w:val="24"/>
          <w:lang w:val="fr-CA"/>
        </w:rPr>
        <w:t xml:space="preserve">) </w:t>
      </w:r>
      <w:r w:rsidRPr="0059083D">
        <w:rPr>
          <w:szCs w:val="24"/>
          <w:lang w:val="fr-CA"/>
        </w:rPr>
        <w:t xml:space="preserve">d’inspecter à toute fin valable les dossiers internes, le registre des titres, la liste des actionnaires et les autres </w:t>
      </w:r>
      <w:r w:rsidR="00C36125">
        <w:rPr>
          <w:szCs w:val="24"/>
          <w:lang w:val="fr-CA"/>
        </w:rPr>
        <w:t>livres et registres</w:t>
      </w:r>
      <w:r w:rsidRPr="0059083D">
        <w:rPr>
          <w:szCs w:val="24"/>
          <w:lang w:val="fr-CA"/>
        </w:rPr>
        <w:t xml:space="preserve"> de la Société ou les </w:t>
      </w:r>
      <w:r w:rsidR="00C36125">
        <w:rPr>
          <w:szCs w:val="24"/>
          <w:lang w:val="fr-CA"/>
        </w:rPr>
        <w:t>livres et registres</w:t>
      </w:r>
      <w:r w:rsidR="00C36125" w:rsidRPr="0059083D">
        <w:rPr>
          <w:szCs w:val="24"/>
          <w:lang w:val="fr-CA"/>
        </w:rPr>
        <w:t xml:space="preserve"> </w:t>
      </w:r>
      <w:r w:rsidRPr="0059083D">
        <w:rPr>
          <w:szCs w:val="24"/>
          <w:lang w:val="fr-CA"/>
        </w:rPr>
        <w:t>de toute filiale, d’en faire des copies et d’en tirer des extraits</w:t>
      </w:r>
      <w:r w:rsidR="000B08F2" w:rsidRPr="0059083D">
        <w:rPr>
          <w:szCs w:val="24"/>
          <w:lang w:val="fr-CA"/>
        </w:rPr>
        <w:t xml:space="preserve">. </w:t>
      </w:r>
      <w:r w:rsidRPr="0059083D">
        <w:rPr>
          <w:szCs w:val="24"/>
          <w:lang w:val="fr-CA"/>
        </w:rPr>
        <w:t xml:space="preserve">La présente renonciation s’applique à cet Investisseur seulement en sa qualité d’actionnaire et n’a pas d’incidence sur les autres droits à l’information ou droits d’inspection qui pourraient lui être expressément </w:t>
      </w:r>
      <w:r w:rsidR="00E80C1E">
        <w:rPr>
          <w:szCs w:val="24"/>
          <w:lang w:val="fr-CA"/>
        </w:rPr>
        <w:t xml:space="preserve">accordés </w:t>
      </w:r>
      <w:r w:rsidRPr="0059083D">
        <w:rPr>
          <w:szCs w:val="24"/>
          <w:lang w:val="fr-CA"/>
        </w:rPr>
        <w:t xml:space="preserve">par les </w:t>
      </w:r>
      <w:r w:rsidRPr="0059083D">
        <w:rPr>
          <w:szCs w:val="24"/>
          <w:u w:val="single"/>
          <w:lang w:val="fr-CA"/>
        </w:rPr>
        <w:t>paragraphes </w:t>
      </w:r>
      <w:r w:rsidR="00C36125" w:rsidRPr="00986BEB">
        <w:rPr>
          <w:u w:val="single"/>
          <w:lang w:val="fr-CA"/>
        </w:rPr>
        <w:fldChar w:fldCharType="begin"/>
      </w:r>
      <w:r w:rsidR="00C36125" w:rsidRPr="00986BEB">
        <w:rPr>
          <w:u w:val="single"/>
          <w:lang w:val="fr-CA"/>
        </w:rPr>
        <w:instrText xml:space="preserve"> REF _Ref119587812 \w \h </w:instrText>
      </w:r>
      <w:r w:rsidR="00C36125" w:rsidRPr="00986BEB">
        <w:rPr>
          <w:u w:val="single"/>
          <w:lang w:val="fr-CA"/>
        </w:rPr>
      </w:r>
      <w:r w:rsidR="00C36125" w:rsidRPr="00986BEB">
        <w:rPr>
          <w:u w:val="single"/>
          <w:lang w:val="fr-CA"/>
        </w:rPr>
        <w:fldChar w:fldCharType="separate"/>
      </w:r>
      <w:r w:rsidR="00AE1D96">
        <w:rPr>
          <w:u w:val="single"/>
          <w:lang w:val="fr-CA"/>
        </w:rPr>
        <w:t>3.1</w:t>
      </w:r>
      <w:r w:rsidR="00C36125" w:rsidRPr="00986BEB">
        <w:rPr>
          <w:u w:val="single"/>
          <w:lang w:val="fr-CA"/>
        </w:rPr>
        <w:fldChar w:fldCharType="end"/>
      </w:r>
      <w:r w:rsidR="000B08F2" w:rsidRPr="0059083D">
        <w:rPr>
          <w:szCs w:val="24"/>
          <w:lang w:val="fr-CA"/>
        </w:rPr>
        <w:t xml:space="preserve"> </w:t>
      </w:r>
      <w:r w:rsidRPr="0059083D">
        <w:rPr>
          <w:szCs w:val="24"/>
          <w:lang w:val="fr-CA"/>
        </w:rPr>
        <w:t xml:space="preserve">et </w:t>
      </w:r>
      <w:r w:rsidR="001967C7" w:rsidRPr="00986BEB">
        <w:rPr>
          <w:snapToGrid w:val="0"/>
          <w:u w:val="single"/>
          <w:lang w:val="fr-CA"/>
        </w:rPr>
        <w:fldChar w:fldCharType="begin"/>
      </w:r>
      <w:r w:rsidR="001967C7" w:rsidRPr="00986BEB">
        <w:rPr>
          <w:snapToGrid w:val="0"/>
          <w:u w:val="single"/>
          <w:lang w:val="fr-CA"/>
        </w:rPr>
        <w:instrText xml:space="preserve">  REF _Ref448380622 \w \h \* MERGEFORMAT </w:instrText>
      </w:r>
      <w:r w:rsidR="001967C7" w:rsidRPr="00986BEB">
        <w:rPr>
          <w:snapToGrid w:val="0"/>
          <w:u w:val="single"/>
          <w:lang w:val="fr-CA"/>
        </w:rPr>
      </w:r>
      <w:r w:rsidR="001967C7" w:rsidRPr="00986BEB">
        <w:rPr>
          <w:snapToGrid w:val="0"/>
          <w:u w:val="single"/>
          <w:lang w:val="fr-CA"/>
        </w:rPr>
        <w:fldChar w:fldCharType="separate"/>
      </w:r>
      <w:r w:rsidR="00AE1D96" w:rsidRPr="00AE1D96">
        <w:rPr>
          <w:snapToGrid w:val="0"/>
          <w:color w:val="000000"/>
          <w:u w:val="single"/>
          <w:lang w:val="fr-CA"/>
        </w:rPr>
        <w:t>3.2</w:t>
      </w:r>
      <w:r w:rsidR="001967C7" w:rsidRPr="00986BEB">
        <w:rPr>
          <w:snapToGrid w:val="0"/>
          <w:u w:val="single"/>
          <w:lang w:val="fr-CA"/>
        </w:rPr>
        <w:fldChar w:fldCharType="end"/>
      </w:r>
      <w:r w:rsidR="000B08F2" w:rsidRPr="0059083D">
        <w:rPr>
          <w:snapToGrid w:val="0"/>
          <w:lang w:val="fr-CA"/>
        </w:rPr>
        <w:t xml:space="preserve"> de la </w:t>
      </w:r>
      <w:r w:rsidR="000B08F2" w:rsidRPr="0059083D">
        <w:rPr>
          <w:szCs w:val="24"/>
          <w:lang w:val="fr-CA"/>
        </w:rPr>
        <w:t xml:space="preserve">présente Convention. </w:t>
      </w:r>
      <w:r w:rsidRPr="0059083D">
        <w:rPr>
          <w:szCs w:val="24"/>
          <w:lang w:val="fr-CA"/>
        </w:rPr>
        <w:t xml:space="preserve">De plus, chaque </w:t>
      </w:r>
      <w:r w:rsidR="000F37C7" w:rsidRPr="0059083D">
        <w:rPr>
          <w:szCs w:val="24"/>
          <w:lang w:val="fr-CA"/>
        </w:rPr>
        <w:t>Investisseur</w:t>
      </w:r>
      <w:r w:rsidR="000B08F2" w:rsidRPr="0059083D">
        <w:rPr>
          <w:szCs w:val="24"/>
          <w:lang w:val="fr-CA"/>
        </w:rPr>
        <w:t xml:space="preserve"> </w:t>
      </w:r>
      <w:r w:rsidRPr="0059083D">
        <w:rPr>
          <w:szCs w:val="24"/>
          <w:lang w:val="fr-CA"/>
        </w:rPr>
        <w:t xml:space="preserve">déclare et garantit par les présentes qu’il a passé en revue la présente renonciation avec son conseiller juridique et qu’il renonce volontairement, en toute connaissance de cause, à ses droits par ailleurs prévus par la Loi </w:t>
      </w:r>
      <w:r w:rsidR="000B08F2" w:rsidRPr="0059083D">
        <w:rPr>
          <w:szCs w:val="24"/>
          <w:lang w:val="fr-CA"/>
        </w:rPr>
        <w:t>(</w:t>
      </w:r>
      <w:r w:rsidRPr="0059083D">
        <w:rPr>
          <w:szCs w:val="24"/>
          <w:lang w:val="fr-CA"/>
        </w:rPr>
        <w:t>ou à tout droit semblable prévu par d’autres lois applicables</w:t>
      </w:r>
      <w:r w:rsidR="000B08F2" w:rsidRPr="0059083D">
        <w:rPr>
          <w:szCs w:val="24"/>
          <w:lang w:val="fr-CA"/>
        </w:rPr>
        <w:t>)</w:t>
      </w:r>
      <w:r w:rsidR="000B08F2" w:rsidRPr="00986BEB">
        <w:rPr>
          <w:rStyle w:val="FootnoteReference"/>
          <w:rFonts w:eastAsiaTheme="majorEastAsia"/>
          <w:szCs w:val="24"/>
          <w:lang w:val="fr-CA"/>
        </w:rPr>
        <w:footnoteReference w:id="46"/>
      </w:r>
      <w:r w:rsidR="00682BC2" w:rsidRPr="0059083D">
        <w:rPr>
          <w:szCs w:val="24"/>
          <w:lang w:val="fr-CA"/>
        </w:rPr>
        <w:t>.]</w:t>
      </w:r>
    </w:p>
    <w:p w14:paraId="54DCCD76" w14:textId="69A17D8C" w:rsidR="00037C7E" w:rsidRPr="00986BEB" w:rsidRDefault="00BF20BB">
      <w:pPr>
        <w:pStyle w:val="StandardL1"/>
        <w:rPr>
          <w:lang w:val="fr-CA"/>
        </w:rPr>
      </w:pPr>
      <w:bookmarkStart w:id="288" w:name="_Ref448380626"/>
      <w:bookmarkStart w:id="289" w:name="_Toc132874740"/>
      <w:r w:rsidRPr="009D4254">
        <w:rPr>
          <w:lang w:val="fr-CA"/>
        </w:rPr>
        <w:t>Droits aux émissions d’actions futures</w:t>
      </w:r>
      <w:r w:rsidR="000B08F2" w:rsidRPr="009D4254">
        <w:rPr>
          <w:snapToGrid w:val="0"/>
          <w:lang w:val="fr-CA"/>
        </w:rPr>
        <w:t>.</w:t>
      </w:r>
      <w:bookmarkEnd w:id="288"/>
      <w:bookmarkEnd w:id="289"/>
    </w:p>
    <w:p w14:paraId="35C2FB30" w14:textId="66A9E1C8" w:rsidR="00037C7E" w:rsidRPr="00986BEB" w:rsidRDefault="00BF20BB">
      <w:pPr>
        <w:pStyle w:val="StandardL2"/>
        <w:rPr>
          <w:lang w:val="fr-CA"/>
        </w:rPr>
      </w:pPr>
      <w:bookmarkStart w:id="290" w:name="_Ref448380627"/>
      <w:bookmarkStart w:id="291" w:name="_Toc132874741"/>
      <w:r w:rsidRPr="009D4254">
        <w:rPr>
          <w:lang w:val="fr-CA"/>
        </w:rPr>
        <w:t>Droit de première offre</w:t>
      </w:r>
      <w:r w:rsidR="000B08F2" w:rsidRPr="009D4254">
        <w:rPr>
          <w:snapToGrid w:val="0"/>
          <w:lang w:val="fr-CA"/>
        </w:rPr>
        <w:t>.</w:t>
      </w:r>
      <w:bookmarkEnd w:id="290"/>
      <w:bookmarkEnd w:id="291"/>
      <w:r w:rsidR="00372D9A">
        <w:rPr>
          <w:snapToGrid w:val="0"/>
          <w:lang w:val="fr-CA"/>
        </w:rPr>
        <w:t xml:space="preserve"> </w:t>
      </w:r>
    </w:p>
    <w:p w14:paraId="142B39AE" w14:textId="08A06508" w:rsidR="00037C7E" w:rsidRPr="0059083D" w:rsidRDefault="00BF20BB">
      <w:pPr>
        <w:pStyle w:val="StandardCont2"/>
        <w:rPr>
          <w:lang w:val="fr-CA"/>
        </w:rPr>
      </w:pPr>
      <w:r w:rsidRPr="009D4254">
        <w:rPr>
          <w:snapToGrid w:val="0"/>
          <w:lang w:val="fr-CA"/>
        </w:rPr>
        <w:t xml:space="preserve">Sous réserve des modalités et conditions du présent </w:t>
      </w:r>
      <w:r w:rsidR="002A0F83" w:rsidRPr="009D4254">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_Ref448380627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4.1</w:t>
      </w:r>
      <w:r w:rsidR="000B08F2" w:rsidRPr="00986BEB">
        <w:rPr>
          <w:snapToGrid w:val="0"/>
          <w:u w:val="single"/>
          <w:lang w:val="fr-CA"/>
        </w:rPr>
        <w:fldChar w:fldCharType="end"/>
      </w:r>
      <w:r w:rsidR="000B08F2" w:rsidRPr="009D4254">
        <w:rPr>
          <w:snapToGrid w:val="0"/>
          <w:lang w:val="fr-CA"/>
        </w:rPr>
        <w:t xml:space="preserve"> </w:t>
      </w:r>
      <w:r w:rsidRPr="009D4254">
        <w:rPr>
          <w:snapToGrid w:val="0"/>
          <w:lang w:val="fr-CA"/>
        </w:rPr>
        <w:t xml:space="preserve">et des lois sur les valeurs mobilières applicables, si </w:t>
      </w:r>
      <w:r w:rsidR="000B08F2" w:rsidRPr="009D4254">
        <w:rPr>
          <w:snapToGrid w:val="0"/>
          <w:lang w:val="fr-CA"/>
        </w:rPr>
        <w:t xml:space="preserve">la Société </w:t>
      </w:r>
      <w:r w:rsidRPr="009D4254">
        <w:rPr>
          <w:snapToGrid w:val="0"/>
          <w:lang w:val="fr-CA"/>
        </w:rPr>
        <w:t xml:space="preserve">propose d’offrir ou de vendre de </w:t>
      </w:r>
      <w:r w:rsidR="008F27F3" w:rsidRPr="009D4254">
        <w:rPr>
          <w:snapToGrid w:val="0"/>
          <w:lang w:val="fr-CA"/>
        </w:rPr>
        <w:t>Nouveaux titres</w:t>
      </w:r>
      <w:r w:rsidR="000B08F2" w:rsidRPr="009D4254">
        <w:rPr>
          <w:snapToGrid w:val="0"/>
          <w:lang w:val="fr-CA"/>
        </w:rPr>
        <w:t xml:space="preserve">, </w:t>
      </w:r>
      <w:r w:rsidR="00E80C1E" w:rsidRPr="009D4254">
        <w:rPr>
          <w:snapToGrid w:val="0"/>
          <w:lang w:val="fr-CA"/>
        </w:rPr>
        <w:t>elle</w:t>
      </w:r>
      <w:r w:rsidR="000B08F2" w:rsidRPr="009D4254">
        <w:rPr>
          <w:snapToGrid w:val="0"/>
          <w:lang w:val="fr-CA"/>
        </w:rPr>
        <w:t xml:space="preserve"> </w:t>
      </w:r>
      <w:r w:rsidRPr="009D4254">
        <w:rPr>
          <w:snapToGrid w:val="0"/>
          <w:lang w:val="fr-CA"/>
        </w:rPr>
        <w:t xml:space="preserve">doit d’abord offrir ces </w:t>
      </w:r>
      <w:r w:rsidR="008F27F3" w:rsidRPr="009D4254">
        <w:rPr>
          <w:snapToGrid w:val="0"/>
          <w:lang w:val="fr-CA"/>
        </w:rPr>
        <w:t>Nouveaux titres</w:t>
      </w:r>
      <w:r w:rsidR="000B08F2" w:rsidRPr="009D4254">
        <w:rPr>
          <w:snapToGrid w:val="0"/>
          <w:lang w:val="fr-CA"/>
        </w:rPr>
        <w:t xml:space="preserve"> </w:t>
      </w:r>
      <w:r w:rsidRPr="009D4254">
        <w:rPr>
          <w:snapToGrid w:val="0"/>
          <w:lang w:val="fr-CA"/>
        </w:rPr>
        <w:t xml:space="preserve">à chaque </w:t>
      </w:r>
      <w:r w:rsidR="006C7CDF" w:rsidRPr="009D4254">
        <w:rPr>
          <w:snapToGrid w:val="0"/>
          <w:lang w:val="fr-CA"/>
        </w:rPr>
        <w:t>Investisseur important</w:t>
      </w:r>
      <w:bookmarkStart w:id="292" w:name="_Ref448380715"/>
      <w:r w:rsidR="000B08F2" w:rsidRPr="00986BEB">
        <w:rPr>
          <w:rStyle w:val="FootnoteReference"/>
          <w:snapToGrid w:val="0"/>
          <w:lang w:val="fr-CA"/>
        </w:rPr>
        <w:footnoteReference w:id="47"/>
      </w:r>
      <w:bookmarkEnd w:id="292"/>
      <w:r w:rsidRPr="0059083D">
        <w:rPr>
          <w:snapToGrid w:val="0"/>
          <w:lang w:val="fr-CA"/>
        </w:rPr>
        <w:t>.</w:t>
      </w:r>
      <w:r w:rsidR="000B08F2" w:rsidRPr="0059083D">
        <w:rPr>
          <w:snapToGrid w:val="0"/>
          <w:lang w:val="fr-CA"/>
        </w:rPr>
        <w:t xml:space="preserve"> </w:t>
      </w:r>
      <w:r w:rsidRPr="0059083D">
        <w:rPr>
          <w:snapToGrid w:val="0"/>
          <w:lang w:val="fr-CA"/>
        </w:rPr>
        <w:t xml:space="preserve">Un </w:t>
      </w:r>
      <w:r w:rsidR="006C7CDF" w:rsidRPr="0059083D">
        <w:rPr>
          <w:snapToGrid w:val="0"/>
          <w:lang w:val="fr-CA"/>
        </w:rPr>
        <w:t>Investisseur important</w:t>
      </w:r>
      <w:r w:rsidR="000B08F2" w:rsidRPr="0059083D">
        <w:rPr>
          <w:snapToGrid w:val="0"/>
          <w:lang w:val="fr-CA"/>
        </w:rPr>
        <w:t xml:space="preserve"> </w:t>
      </w:r>
      <w:r w:rsidRPr="0059083D">
        <w:rPr>
          <w:snapToGrid w:val="0"/>
          <w:lang w:val="fr-CA"/>
        </w:rPr>
        <w:t>a le droit de répartir le droit de première offre qui lui est accordé par les présentes dans les proportions qu’il juge appropriées</w:t>
      </w:r>
      <w:r w:rsidR="000B08F2" w:rsidRPr="0059083D">
        <w:rPr>
          <w:snapToGrid w:val="0"/>
          <w:lang w:val="fr-CA"/>
        </w:rPr>
        <w:t xml:space="preserve">, </w:t>
      </w:r>
      <w:r w:rsidRPr="0059083D">
        <w:rPr>
          <w:snapToGrid w:val="0"/>
          <w:lang w:val="fr-CA"/>
        </w:rPr>
        <w:t>entre</w:t>
      </w:r>
      <w:r w:rsidR="000B08F2" w:rsidRPr="0059083D">
        <w:rPr>
          <w:snapToGrid w:val="0"/>
          <w:lang w:val="fr-CA"/>
        </w:rPr>
        <w:t xml:space="preserve"> </w:t>
      </w:r>
      <w:bookmarkStart w:id="293" w:name="DocXTextRef236"/>
      <w:r w:rsidR="000B08F2" w:rsidRPr="0059083D">
        <w:rPr>
          <w:snapToGrid w:val="0"/>
          <w:lang w:val="fr-CA"/>
        </w:rPr>
        <w:t>(</w:t>
      </w:r>
      <w:r w:rsidR="000B08F2" w:rsidRPr="00986BEB">
        <w:rPr>
          <w:snapToGrid w:val="0"/>
          <w:lang w:val="fr-CA"/>
        </w:rPr>
        <w:t>i</w:t>
      </w:r>
      <w:r w:rsidR="000B08F2" w:rsidRPr="0059083D">
        <w:rPr>
          <w:snapToGrid w:val="0"/>
          <w:lang w:val="fr-CA"/>
        </w:rPr>
        <w:t>)</w:t>
      </w:r>
      <w:bookmarkEnd w:id="293"/>
      <w:r w:rsidR="000B08F2" w:rsidRPr="0059083D">
        <w:rPr>
          <w:snapToGrid w:val="0"/>
          <w:lang w:val="fr-CA"/>
        </w:rPr>
        <w:t> </w:t>
      </w:r>
      <w:r w:rsidRPr="0059083D">
        <w:rPr>
          <w:snapToGrid w:val="0"/>
          <w:lang w:val="fr-CA"/>
        </w:rPr>
        <w:t>lui-même</w:t>
      </w:r>
      <w:r w:rsidR="000B08F2" w:rsidRPr="0059083D">
        <w:rPr>
          <w:snapToGrid w:val="0"/>
          <w:lang w:val="fr-CA"/>
        </w:rPr>
        <w:t xml:space="preserve">, </w:t>
      </w:r>
      <w:bookmarkStart w:id="294" w:name="DocXTextRef237"/>
      <w:r w:rsidR="000B08F2" w:rsidRPr="0059083D">
        <w:rPr>
          <w:snapToGrid w:val="0"/>
          <w:lang w:val="fr-CA"/>
        </w:rPr>
        <w:t>(</w:t>
      </w:r>
      <w:r w:rsidR="000B08F2" w:rsidRPr="00986BEB">
        <w:rPr>
          <w:snapToGrid w:val="0"/>
          <w:lang w:val="fr-CA"/>
        </w:rPr>
        <w:t>ii</w:t>
      </w:r>
      <w:r w:rsidR="000B08F2" w:rsidRPr="0059083D">
        <w:rPr>
          <w:snapToGrid w:val="0"/>
          <w:lang w:val="fr-CA"/>
        </w:rPr>
        <w:t>)</w:t>
      </w:r>
      <w:bookmarkEnd w:id="294"/>
      <w:r w:rsidR="000B08F2" w:rsidRPr="0059083D">
        <w:rPr>
          <w:snapToGrid w:val="0"/>
          <w:lang w:val="fr-CA"/>
        </w:rPr>
        <w:t> </w:t>
      </w:r>
      <w:r w:rsidRPr="0059083D">
        <w:rPr>
          <w:snapToGrid w:val="0"/>
          <w:lang w:val="fr-CA"/>
        </w:rPr>
        <w:t xml:space="preserve">les </w:t>
      </w:r>
      <w:r w:rsidR="000B08F2" w:rsidRPr="0059083D">
        <w:rPr>
          <w:snapToGrid w:val="0"/>
          <w:lang w:val="fr-CA"/>
        </w:rPr>
        <w:t xml:space="preserve">Membres du même groupe </w:t>
      </w:r>
      <w:r w:rsidRPr="0059083D">
        <w:rPr>
          <w:snapToGrid w:val="0"/>
          <w:lang w:val="fr-CA"/>
        </w:rPr>
        <w:t xml:space="preserve">que lui </w:t>
      </w:r>
      <w:r w:rsidR="000B08F2" w:rsidRPr="0059083D">
        <w:rPr>
          <w:snapToGrid w:val="0"/>
          <w:lang w:val="fr-CA"/>
        </w:rPr>
        <w:t>[</w:t>
      </w:r>
      <w:r w:rsidRPr="0059083D">
        <w:rPr>
          <w:snapToGrid w:val="0"/>
          <w:lang w:val="fr-CA"/>
        </w:rPr>
        <w:t>et</w:t>
      </w:r>
      <w:r w:rsidR="000B08F2" w:rsidRPr="0059083D">
        <w:rPr>
          <w:snapToGrid w:val="0"/>
          <w:lang w:val="fr-CA"/>
        </w:rPr>
        <w:t xml:space="preserve"> </w:t>
      </w:r>
      <w:bookmarkStart w:id="295" w:name="DocXTextRef238"/>
      <w:r w:rsidR="000B08F2" w:rsidRPr="0059083D">
        <w:rPr>
          <w:snapToGrid w:val="0"/>
          <w:lang w:val="fr-CA"/>
        </w:rPr>
        <w:t>(</w:t>
      </w:r>
      <w:r w:rsidR="000B08F2" w:rsidRPr="00986BEB">
        <w:rPr>
          <w:snapToGrid w:val="0"/>
          <w:lang w:val="fr-CA"/>
        </w:rPr>
        <w:t>iii</w:t>
      </w:r>
      <w:r w:rsidR="000B08F2" w:rsidRPr="0059083D">
        <w:rPr>
          <w:snapToGrid w:val="0"/>
          <w:lang w:val="fr-CA"/>
        </w:rPr>
        <w:t>)</w:t>
      </w:r>
      <w:bookmarkEnd w:id="295"/>
      <w:r w:rsidR="000B08F2" w:rsidRPr="0059083D">
        <w:rPr>
          <w:snapToGrid w:val="0"/>
          <w:lang w:val="fr-CA"/>
        </w:rPr>
        <w:t> </w:t>
      </w:r>
      <w:r w:rsidRPr="0059083D">
        <w:rPr>
          <w:snapToGrid w:val="0"/>
          <w:lang w:val="fr-CA"/>
        </w:rPr>
        <w:t xml:space="preserve">ses </w:t>
      </w:r>
      <w:r w:rsidRPr="00FC4B26">
        <w:rPr>
          <w:snapToGrid w:val="0"/>
          <w:lang w:val="fr-CA"/>
        </w:rPr>
        <w:t xml:space="preserve">propriétaires véritables, comme ses commanditaires, ses membres ou toute autre Personne qui a la « propriété véritable », au sens </w:t>
      </w:r>
      <w:r w:rsidR="00874C2A" w:rsidRPr="00FC4B26">
        <w:rPr>
          <w:snapToGrid w:val="0"/>
          <w:lang w:val="fr-CA"/>
        </w:rPr>
        <w:t>donné</w:t>
      </w:r>
      <w:r w:rsidRPr="00FC4B26">
        <w:rPr>
          <w:snapToGrid w:val="0"/>
          <w:lang w:val="fr-CA"/>
        </w:rPr>
        <w:t xml:space="preserve"> </w:t>
      </w:r>
      <w:r w:rsidR="003056A3" w:rsidRPr="00FC4B26">
        <w:rPr>
          <w:snapToGrid w:val="0"/>
          <w:lang w:val="fr-CA"/>
        </w:rPr>
        <w:t>à</w:t>
      </w:r>
      <w:r w:rsidRPr="00FC4B26">
        <w:rPr>
          <w:snapToGrid w:val="0"/>
          <w:lang w:val="fr-CA"/>
        </w:rPr>
        <w:t xml:space="preserve"> </w:t>
      </w:r>
      <w:r w:rsidR="000B08F2" w:rsidRPr="00FC4B26">
        <w:rPr>
          <w:i/>
          <w:iCs/>
          <w:snapToGrid w:val="0"/>
          <w:lang w:val="fr-CA"/>
        </w:rPr>
        <w:t>beneficial ownership</w:t>
      </w:r>
      <w:r w:rsidRPr="00FC4B26">
        <w:rPr>
          <w:snapToGrid w:val="0"/>
          <w:lang w:val="fr-CA"/>
        </w:rPr>
        <w:t xml:space="preserve"> dans la </w:t>
      </w:r>
      <w:r w:rsidR="000B08F2" w:rsidRPr="00FC4B26">
        <w:rPr>
          <w:i/>
          <w:iCs/>
          <w:snapToGrid w:val="0"/>
          <w:lang w:val="fr-CA"/>
        </w:rPr>
        <w:t>Rule</w:t>
      </w:r>
      <w:r w:rsidRPr="00FC4B26">
        <w:rPr>
          <w:i/>
          <w:iCs/>
          <w:snapToGrid w:val="0"/>
          <w:lang w:val="fr-CA"/>
        </w:rPr>
        <w:t> </w:t>
      </w:r>
      <w:r w:rsidR="000B08F2" w:rsidRPr="00FC4B26">
        <w:rPr>
          <w:i/>
          <w:iCs/>
          <w:snapToGrid w:val="0"/>
          <w:lang w:val="fr-CA"/>
        </w:rPr>
        <w:t>13d-3</w:t>
      </w:r>
      <w:r w:rsidR="000B08F2" w:rsidRPr="00FC4B26">
        <w:rPr>
          <w:snapToGrid w:val="0"/>
          <w:lang w:val="fr-CA"/>
        </w:rPr>
        <w:t xml:space="preserve"> </w:t>
      </w:r>
      <w:r w:rsidRPr="00FC4B26">
        <w:rPr>
          <w:snapToGrid w:val="0"/>
          <w:lang w:val="fr-CA"/>
        </w:rPr>
        <w:t xml:space="preserve">prise en application de la </w:t>
      </w:r>
      <w:r w:rsidR="00F52467" w:rsidRPr="00FC4B26">
        <w:rPr>
          <w:snapToGrid w:val="0"/>
          <w:lang w:val="fr-CA"/>
        </w:rPr>
        <w:t>Loi de 1934</w:t>
      </w:r>
      <w:r w:rsidR="000B08F2" w:rsidRPr="00FC4B26">
        <w:rPr>
          <w:snapToGrid w:val="0"/>
          <w:lang w:val="fr-CA"/>
        </w:rPr>
        <w:t xml:space="preserve">, </w:t>
      </w:r>
      <w:r w:rsidRPr="00FC4B26">
        <w:rPr>
          <w:snapToGrid w:val="0"/>
          <w:lang w:val="fr-CA"/>
        </w:rPr>
        <w:t xml:space="preserve">de cet </w:t>
      </w:r>
      <w:r w:rsidR="006C7CDF" w:rsidRPr="00FC4B26">
        <w:rPr>
          <w:snapToGrid w:val="0"/>
          <w:lang w:val="fr-CA"/>
        </w:rPr>
        <w:t>Investisseur important</w:t>
      </w:r>
      <w:r w:rsidR="000B08F2" w:rsidRPr="00FC4B26">
        <w:rPr>
          <w:snapToGrid w:val="0"/>
          <w:lang w:val="fr-CA"/>
        </w:rPr>
        <w:t xml:space="preserve"> (</w:t>
      </w:r>
      <w:r w:rsidRPr="00FC4B26">
        <w:rPr>
          <w:snapToGrid w:val="0"/>
          <w:lang w:val="fr-CA"/>
        </w:rPr>
        <w:t xml:space="preserve">les </w:t>
      </w:r>
      <w:r w:rsidR="000B08F2" w:rsidRPr="00FC4B26">
        <w:rPr>
          <w:snapToGrid w:val="0"/>
          <w:lang w:val="fr-CA"/>
        </w:rPr>
        <w:t>« </w:t>
      </w:r>
      <w:r w:rsidRPr="00FC4B26">
        <w:rPr>
          <w:b/>
          <w:snapToGrid w:val="0"/>
          <w:lang w:val="fr-CA"/>
        </w:rPr>
        <w:t>Propriétaires véritables de l’</w:t>
      </w:r>
      <w:r w:rsidR="00BB5F7E" w:rsidRPr="00FC4B26">
        <w:rPr>
          <w:b/>
          <w:snapToGrid w:val="0"/>
          <w:lang w:val="fr-CA"/>
        </w:rPr>
        <w:t>i</w:t>
      </w:r>
      <w:r w:rsidRPr="00FC4B26">
        <w:rPr>
          <w:b/>
          <w:snapToGrid w:val="0"/>
          <w:lang w:val="fr-CA"/>
        </w:rPr>
        <w:t>nvestisseur</w:t>
      </w:r>
      <w:r w:rsidR="000B08F2" w:rsidRPr="00FC4B26">
        <w:rPr>
          <w:snapToGrid w:val="0"/>
          <w:lang w:val="fr-CA"/>
        </w:rPr>
        <w:t> »)</w:t>
      </w:r>
      <w:r w:rsidRPr="00FC4B26">
        <w:rPr>
          <w:snapToGrid w:val="0"/>
          <w:lang w:val="fr-CA"/>
        </w:rPr>
        <w:t xml:space="preserve">, à condition que chaque tel </w:t>
      </w:r>
      <w:r w:rsidR="000B08F2" w:rsidRPr="00FC4B26">
        <w:rPr>
          <w:snapToGrid w:val="0"/>
          <w:lang w:val="fr-CA"/>
        </w:rPr>
        <w:t xml:space="preserve">Membre du même groupe </w:t>
      </w:r>
      <w:r w:rsidRPr="00FC4B26">
        <w:rPr>
          <w:snapToGrid w:val="0"/>
          <w:lang w:val="fr-CA"/>
        </w:rPr>
        <w:t>ou Propriétaire véritable de l’</w:t>
      </w:r>
      <w:r w:rsidR="00BB5F7E" w:rsidRPr="00FC4B26">
        <w:rPr>
          <w:snapToGrid w:val="0"/>
          <w:lang w:val="fr-CA"/>
        </w:rPr>
        <w:t>i</w:t>
      </w:r>
      <w:r w:rsidRPr="00FC4B26">
        <w:rPr>
          <w:snapToGrid w:val="0"/>
          <w:lang w:val="fr-CA"/>
        </w:rPr>
        <w:t>nvestisseur</w:t>
      </w:r>
      <w:bookmarkStart w:id="296" w:name="DocXTextRef239"/>
      <w:r w:rsidRPr="00FC4B26">
        <w:rPr>
          <w:snapToGrid w:val="0"/>
          <w:lang w:val="fr-CA"/>
        </w:rPr>
        <w:t xml:space="preserve"> </w:t>
      </w:r>
      <w:r w:rsidR="000B08F2" w:rsidRPr="00FC4B26">
        <w:rPr>
          <w:snapToGrid w:val="0"/>
          <w:lang w:val="fr-CA"/>
        </w:rPr>
        <w:t>(x)</w:t>
      </w:r>
      <w:bookmarkEnd w:id="296"/>
      <w:r w:rsidR="000B08F2" w:rsidRPr="00FC4B26">
        <w:rPr>
          <w:snapToGrid w:val="0"/>
          <w:lang w:val="fr-CA"/>
        </w:rPr>
        <w:t> </w:t>
      </w:r>
      <w:r w:rsidRPr="00FC4B26">
        <w:rPr>
          <w:snapToGrid w:val="0"/>
          <w:lang w:val="fr-CA"/>
        </w:rPr>
        <w:t xml:space="preserve">ne soit pas un Concurrent ou une </w:t>
      </w:r>
      <w:r w:rsidRPr="00FC4B26">
        <w:rPr>
          <w:lang w:val="fr-CA"/>
        </w:rPr>
        <w:t>Partie assujettie à des lois sur l’accès à l’information</w:t>
      </w:r>
      <w:r w:rsidR="000B08F2" w:rsidRPr="00FC4B26">
        <w:rPr>
          <w:snapToGrid w:val="0"/>
          <w:lang w:val="fr-CA"/>
        </w:rPr>
        <w:t>,</w:t>
      </w:r>
      <w:r w:rsidR="000B08F2" w:rsidRPr="0059083D">
        <w:rPr>
          <w:snapToGrid w:val="0"/>
          <w:lang w:val="fr-CA"/>
        </w:rPr>
        <w:t xml:space="preserve"> </w:t>
      </w:r>
      <w:r w:rsidRPr="0059083D">
        <w:rPr>
          <w:snapToGrid w:val="0"/>
          <w:lang w:val="fr-CA"/>
        </w:rPr>
        <w:t>à moins que le Conseil d’administration n</w:t>
      </w:r>
      <w:r w:rsidR="00BF1DEF">
        <w:rPr>
          <w:snapToGrid w:val="0"/>
          <w:lang w:val="fr-CA"/>
        </w:rPr>
        <w:t xml:space="preserve">e </w:t>
      </w:r>
      <w:r w:rsidRPr="0059083D">
        <w:rPr>
          <w:snapToGrid w:val="0"/>
          <w:lang w:val="fr-CA"/>
        </w:rPr>
        <w:t>consent</w:t>
      </w:r>
      <w:r w:rsidR="00BF1DEF">
        <w:rPr>
          <w:snapToGrid w:val="0"/>
          <w:lang w:val="fr-CA"/>
        </w:rPr>
        <w:t>e</w:t>
      </w:r>
      <w:r w:rsidRPr="0059083D">
        <w:rPr>
          <w:snapToGrid w:val="0"/>
          <w:lang w:val="fr-CA"/>
        </w:rPr>
        <w:t xml:space="preserve"> par ailleurs à l’achat des </w:t>
      </w:r>
      <w:r w:rsidR="008F27F3" w:rsidRPr="0059083D">
        <w:rPr>
          <w:snapToGrid w:val="0"/>
          <w:lang w:val="fr-CA"/>
        </w:rPr>
        <w:t>Nouveaux titres</w:t>
      </w:r>
      <w:r w:rsidR="000B08F2" w:rsidRPr="0059083D">
        <w:rPr>
          <w:snapToGrid w:val="0"/>
          <w:lang w:val="fr-CA"/>
        </w:rPr>
        <w:t xml:space="preserve"> </w:t>
      </w:r>
      <w:r w:rsidRPr="0059083D">
        <w:rPr>
          <w:snapToGrid w:val="0"/>
          <w:lang w:val="fr-CA"/>
        </w:rPr>
        <w:t>par cette partie</w:t>
      </w:r>
      <w:r w:rsidR="000B08F2" w:rsidRPr="0059083D">
        <w:rPr>
          <w:snapToGrid w:val="0"/>
          <w:lang w:val="fr-CA"/>
        </w:rPr>
        <w:t xml:space="preserve">, </w:t>
      </w:r>
      <w:bookmarkStart w:id="297" w:name="DocXTextRef240"/>
      <w:r w:rsidR="000B08F2" w:rsidRPr="0059083D">
        <w:rPr>
          <w:snapToGrid w:val="0"/>
          <w:lang w:val="fr-CA"/>
        </w:rPr>
        <w:t>(</w:t>
      </w:r>
      <w:r w:rsidR="000B08F2" w:rsidRPr="00986BEB">
        <w:rPr>
          <w:snapToGrid w:val="0"/>
          <w:lang w:val="fr-CA"/>
        </w:rPr>
        <w:t>y</w:t>
      </w:r>
      <w:r w:rsidR="000B08F2" w:rsidRPr="0059083D">
        <w:rPr>
          <w:snapToGrid w:val="0"/>
          <w:lang w:val="fr-CA"/>
        </w:rPr>
        <w:t>)</w:t>
      </w:r>
      <w:bookmarkEnd w:id="297"/>
      <w:r w:rsidR="000B08F2" w:rsidRPr="0059083D">
        <w:rPr>
          <w:snapToGrid w:val="0"/>
          <w:lang w:val="fr-CA"/>
        </w:rPr>
        <w:t> </w:t>
      </w:r>
      <w:r w:rsidRPr="0059083D">
        <w:rPr>
          <w:snapToGrid w:val="0"/>
          <w:lang w:val="fr-CA"/>
        </w:rPr>
        <w:t xml:space="preserve">s’engage à conclure </w:t>
      </w:r>
      <w:r w:rsidR="000B08F2" w:rsidRPr="0059083D">
        <w:rPr>
          <w:snapToGrid w:val="0"/>
          <w:lang w:val="fr-CA"/>
        </w:rPr>
        <w:t xml:space="preserve">la présente Convention </w:t>
      </w:r>
      <w:r w:rsidRPr="0059083D">
        <w:rPr>
          <w:snapToGrid w:val="0"/>
          <w:lang w:val="fr-CA"/>
        </w:rPr>
        <w:t xml:space="preserve">et chaque Convention de vote </w:t>
      </w:r>
      <w:r w:rsidR="000B08F2" w:rsidRPr="0059083D">
        <w:rPr>
          <w:snapToGrid w:val="0"/>
          <w:lang w:val="fr-CA"/>
        </w:rPr>
        <w:t>[</w:t>
      </w:r>
      <w:r w:rsidRPr="0059083D">
        <w:rPr>
          <w:snapToGrid w:val="0"/>
          <w:lang w:val="fr-CA"/>
        </w:rPr>
        <w:t>modifiée et mise à jour</w:t>
      </w:r>
      <w:r w:rsidR="000B08F2" w:rsidRPr="0059083D">
        <w:rPr>
          <w:snapToGrid w:val="0"/>
          <w:lang w:val="fr-CA"/>
        </w:rPr>
        <w:t xml:space="preserve">] </w:t>
      </w:r>
      <w:r w:rsidRPr="0059083D">
        <w:rPr>
          <w:snapToGrid w:val="0"/>
          <w:lang w:val="fr-CA"/>
        </w:rPr>
        <w:t xml:space="preserve">portant la même date que les présentes entre </w:t>
      </w:r>
      <w:r w:rsidR="000B08F2" w:rsidRPr="0059083D">
        <w:rPr>
          <w:snapToGrid w:val="0"/>
          <w:lang w:val="fr-CA"/>
        </w:rPr>
        <w:t xml:space="preserve">la Société, les Investisseurs </w:t>
      </w:r>
      <w:r w:rsidRPr="0059083D">
        <w:rPr>
          <w:snapToGrid w:val="0"/>
          <w:lang w:val="fr-CA"/>
        </w:rPr>
        <w:t>et les autres parties qui y sont nommées</w:t>
      </w:r>
      <w:r w:rsidR="000B08F2" w:rsidRPr="0059083D">
        <w:rPr>
          <w:snapToGrid w:val="0"/>
          <w:lang w:val="fr-CA"/>
        </w:rPr>
        <w:t xml:space="preserve">, </w:t>
      </w:r>
      <w:r w:rsidRPr="0059083D">
        <w:rPr>
          <w:snapToGrid w:val="0"/>
          <w:lang w:val="fr-CA"/>
        </w:rPr>
        <w:t>à titre d’</w:t>
      </w:r>
      <w:r w:rsidR="000B08F2" w:rsidRPr="0059083D">
        <w:rPr>
          <w:snapToGrid w:val="0"/>
          <w:lang w:val="fr-CA"/>
        </w:rPr>
        <w:t>« </w:t>
      </w:r>
      <w:r w:rsidR="000F37C7" w:rsidRPr="0059083D">
        <w:rPr>
          <w:b/>
          <w:snapToGrid w:val="0"/>
          <w:lang w:val="fr-CA"/>
        </w:rPr>
        <w:t>Investisseur</w:t>
      </w:r>
      <w:r w:rsidR="000B08F2" w:rsidRPr="0059083D">
        <w:rPr>
          <w:snapToGrid w:val="0"/>
          <w:lang w:val="fr-CA"/>
        </w:rPr>
        <w:t xml:space="preserve"> » </w:t>
      </w:r>
      <w:r w:rsidRPr="0059083D">
        <w:rPr>
          <w:snapToGrid w:val="0"/>
          <w:lang w:val="fr-CA"/>
        </w:rPr>
        <w:t xml:space="preserve">aux termes de chacune de ces conventions </w:t>
      </w:r>
      <w:r w:rsidR="000B08F2" w:rsidRPr="0059083D">
        <w:rPr>
          <w:snapToGrid w:val="0"/>
          <w:lang w:val="fr-CA"/>
        </w:rPr>
        <w:t>(</w:t>
      </w:r>
      <w:r w:rsidRPr="0059083D">
        <w:rPr>
          <w:snapToGrid w:val="0"/>
          <w:lang w:val="fr-CA"/>
        </w:rPr>
        <w:t xml:space="preserve">étant entendu qu’un </w:t>
      </w:r>
      <w:r w:rsidR="000B08F2" w:rsidRPr="0059083D">
        <w:rPr>
          <w:snapToGrid w:val="0"/>
          <w:lang w:val="fr-CA"/>
        </w:rPr>
        <w:t xml:space="preserve">Concurrent </w:t>
      </w:r>
      <w:r w:rsidRPr="0059083D">
        <w:rPr>
          <w:snapToGrid w:val="0"/>
          <w:lang w:val="fr-CA"/>
        </w:rPr>
        <w:t xml:space="preserve">ou une </w:t>
      </w:r>
      <w:r w:rsidRPr="0059083D">
        <w:rPr>
          <w:lang w:val="fr-CA"/>
        </w:rPr>
        <w:t>Partie assujettie à des lois sur l’accès à l’information</w:t>
      </w:r>
      <w:r w:rsidR="000B08F2" w:rsidRPr="0059083D">
        <w:rPr>
          <w:snapToGrid w:val="0"/>
          <w:lang w:val="fr-CA"/>
        </w:rPr>
        <w:t xml:space="preserve"> </w:t>
      </w:r>
      <w:r w:rsidRPr="0059083D">
        <w:rPr>
          <w:snapToGrid w:val="0"/>
          <w:lang w:val="fr-CA"/>
        </w:rPr>
        <w:t>ne bénéficie pas de droits à titre d’</w:t>
      </w:r>
      <w:r w:rsidR="006C7CDF" w:rsidRPr="0059083D">
        <w:rPr>
          <w:snapToGrid w:val="0"/>
          <w:lang w:val="fr-CA"/>
        </w:rPr>
        <w:t>Investisseur important</w:t>
      </w:r>
      <w:r w:rsidR="000B08F2" w:rsidRPr="0059083D">
        <w:rPr>
          <w:snapToGrid w:val="0"/>
          <w:lang w:val="fr-CA"/>
        </w:rPr>
        <w:t xml:space="preserve"> </w:t>
      </w:r>
      <w:r w:rsidRPr="0059083D">
        <w:rPr>
          <w:snapToGrid w:val="0"/>
          <w:lang w:val="fr-CA"/>
        </w:rPr>
        <w:t xml:space="preserve">aux termes des </w:t>
      </w:r>
      <w:r w:rsidRPr="0059083D">
        <w:rPr>
          <w:snapToGrid w:val="0"/>
          <w:u w:val="single"/>
          <w:lang w:val="fr-CA"/>
        </w:rPr>
        <w:t>paragraphes </w:t>
      </w:r>
      <w:r w:rsidR="00BF1DEF" w:rsidRPr="00986BEB">
        <w:rPr>
          <w:u w:val="single"/>
          <w:lang w:val="fr-CA"/>
        </w:rPr>
        <w:fldChar w:fldCharType="begin"/>
      </w:r>
      <w:r w:rsidR="00BF1DEF" w:rsidRPr="00986BEB">
        <w:rPr>
          <w:u w:val="single"/>
          <w:lang w:val="fr-CA"/>
        </w:rPr>
        <w:instrText xml:space="preserve"> REF _Ref119587812 \w \h </w:instrText>
      </w:r>
      <w:r w:rsidR="00BF1DEF" w:rsidRPr="00986BEB">
        <w:rPr>
          <w:u w:val="single"/>
          <w:lang w:val="fr-CA"/>
        </w:rPr>
      </w:r>
      <w:r w:rsidR="00BF1DEF" w:rsidRPr="00986BEB">
        <w:rPr>
          <w:u w:val="single"/>
          <w:lang w:val="fr-CA"/>
        </w:rPr>
        <w:fldChar w:fldCharType="separate"/>
      </w:r>
      <w:r w:rsidR="00AE1D96">
        <w:rPr>
          <w:u w:val="single"/>
          <w:lang w:val="fr-CA"/>
        </w:rPr>
        <w:t>3.1</w:t>
      </w:r>
      <w:r w:rsidR="00BF1DEF" w:rsidRPr="00986BEB">
        <w:rPr>
          <w:u w:val="single"/>
          <w:lang w:val="fr-CA"/>
        </w:rPr>
        <w:fldChar w:fldCharType="end"/>
      </w:r>
      <w:r w:rsidR="000B08F2" w:rsidRPr="0059083D">
        <w:rPr>
          <w:snapToGrid w:val="0"/>
          <w:lang w:val="fr-CA"/>
        </w:rPr>
        <w:t xml:space="preserve">, </w:t>
      </w:r>
      <w:r w:rsidR="000B08F2" w:rsidRPr="00986BEB">
        <w:rPr>
          <w:snapToGrid w:val="0"/>
          <w:u w:val="single"/>
          <w:lang w:val="fr-CA"/>
        </w:rPr>
        <w:fldChar w:fldCharType="begin"/>
      </w:r>
      <w:r w:rsidR="000B08F2" w:rsidRPr="00986BEB">
        <w:rPr>
          <w:snapToGrid w:val="0"/>
          <w:u w:val="single"/>
          <w:lang w:val="fr-CA"/>
        </w:rPr>
        <w:instrText xml:space="preserve">  REF _Ref448380622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3.2</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 xml:space="preserve">et </w:t>
      </w:r>
      <w:r w:rsidR="000B08F2" w:rsidRPr="00986BEB">
        <w:rPr>
          <w:snapToGrid w:val="0"/>
          <w:u w:val="single"/>
          <w:lang w:val="fr-CA"/>
        </w:rPr>
        <w:fldChar w:fldCharType="begin"/>
      </w:r>
      <w:r w:rsidR="000B08F2" w:rsidRPr="00986BEB">
        <w:rPr>
          <w:snapToGrid w:val="0"/>
          <w:u w:val="single"/>
          <w:lang w:val="fr-CA"/>
        </w:rPr>
        <w:instrText xml:space="preserve">  REF _Ref448380627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4.1</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des présentes</w:t>
      </w:r>
      <w:r w:rsidR="000B08F2" w:rsidRPr="0059083D">
        <w:rPr>
          <w:snapToGrid w:val="0"/>
          <w:lang w:val="fr-CA"/>
        </w:rPr>
        <w:t xml:space="preserve">), </w:t>
      </w:r>
      <w:r w:rsidRPr="0059083D">
        <w:rPr>
          <w:snapToGrid w:val="0"/>
          <w:lang w:val="fr-CA"/>
        </w:rPr>
        <w:t xml:space="preserve">et </w:t>
      </w:r>
      <w:bookmarkStart w:id="298" w:name="DocXTextRef243"/>
      <w:r w:rsidR="000B08F2" w:rsidRPr="0059083D">
        <w:rPr>
          <w:snapToGrid w:val="0"/>
          <w:lang w:val="fr-CA"/>
        </w:rPr>
        <w:t>(</w:t>
      </w:r>
      <w:r w:rsidR="000B08F2" w:rsidRPr="00986BEB">
        <w:rPr>
          <w:snapToGrid w:val="0"/>
          <w:lang w:val="fr-CA"/>
        </w:rPr>
        <w:t>z</w:t>
      </w:r>
      <w:r w:rsidR="000B08F2" w:rsidRPr="0059083D">
        <w:rPr>
          <w:snapToGrid w:val="0"/>
          <w:lang w:val="fr-CA"/>
        </w:rPr>
        <w:t>)</w:t>
      </w:r>
      <w:bookmarkEnd w:id="298"/>
      <w:r w:rsidR="000B08F2" w:rsidRPr="0059083D">
        <w:rPr>
          <w:snapToGrid w:val="0"/>
          <w:lang w:val="fr-CA"/>
        </w:rPr>
        <w:t> </w:t>
      </w:r>
      <w:r w:rsidRPr="0059083D">
        <w:rPr>
          <w:snapToGrid w:val="0"/>
          <w:lang w:val="fr-CA"/>
        </w:rPr>
        <w:t xml:space="preserve">s’engage à acheter au moins le nombre de </w:t>
      </w:r>
      <w:r w:rsidR="008F27F3" w:rsidRPr="0059083D">
        <w:rPr>
          <w:snapToGrid w:val="0"/>
          <w:lang w:val="fr-CA"/>
        </w:rPr>
        <w:t>Nouveaux titres</w:t>
      </w:r>
      <w:r w:rsidR="000B08F2" w:rsidRPr="0059083D">
        <w:rPr>
          <w:snapToGrid w:val="0"/>
          <w:lang w:val="fr-CA"/>
        </w:rPr>
        <w:t xml:space="preserve"> </w:t>
      </w:r>
      <w:r w:rsidRPr="0059083D">
        <w:rPr>
          <w:snapToGrid w:val="0"/>
          <w:lang w:val="fr-CA"/>
        </w:rPr>
        <w:t xml:space="preserve">qui </w:t>
      </w:r>
      <w:r w:rsidR="00FC4B26">
        <w:rPr>
          <w:snapToGrid w:val="0"/>
          <w:lang w:val="fr-CA"/>
        </w:rPr>
        <w:t>peut être</w:t>
      </w:r>
      <w:r w:rsidRPr="0059083D">
        <w:rPr>
          <w:snapToGrid w:val="0"/>
          <w:lang w:val="fr-CA"/>
        </w:rPr>
        <w:t xml:space="preserve"> attribué aux termes des présentes à l’</w:t>
      </w:r>
      <w:r w:rsidR="006C7CDF" w:rsidRPr="0059083D">
        <w:rPr>
          <w:snapToGrid w:val="0"/>
          <w:lang w:val="fr-CA"/>
        </w:rPr>
        <w:t>Investisseur important</w:t>
      </w:r>
      <w:r w:rsidR="000B08F2" w:rsidRPr="0059083D">
        <w:rPr>
          <w:snapToGrid w:val="0"/>
          <w:lang w:val="fr-CA"/>
        </w:rPr>
        <w:t xml:space="preserve"> </w:t>
      </w:r>
      <w:r w:rsidRPr="0059083D">
        <w:rPr>
          <w:snapToGrid w:val="0"/>
          <w:lang w:val="fr-CA"/>
        </w:rPr>
        <w:t>qui détient le plus petit nombre d’</w:t>
      </w:r>
      <w:r w:rsidR="004B6285" w:rsidRPr="0059083D">
        <w:rPr>
          <w:snapToGrid w:val="0"/>
          <w:lang w:val="fr-CA"/>
        </w:rPr>
        <w:t>Actions privilégiées [de catégorie A]</w:t>
      </w:r>
      <w:r w:rsidR="000B08F2" w:rsidRPr="0059083D">
        <w:rPr>
          <w:snapToGrid w:val="0"/>
          <w:lang w:val="fr-CA"/>
        </w:rPr>
        <w:t xml:space="preserve"> </w:t>
      </w:r>
      <w:r w:rsidRPr="0059083D">
        <w:rPr>
          <w:snapToGrid w:val="0"/>
          <w:lang w:val="fr-CA"/>
        </w:rPr>
        <w:t xml:space="preserve">et d’autres </w:t>
      </w:r>
      <w:r w:rsidR="00F52467" w:rsidRPr="0059083D">
        <w:rPr>
          <w:snapToGrid w:val="0"/>
          <w:lang w:val="fr-CA"/>
        </w:rPr>
        <w:t>Instruments dérivés</w:t>
      </w:r>
      <w:r w:rsidR="000B08F2" w:rsidRPr="0059083D">
        <w:rPr>
          <w:snapToGrid w:val="0"/>
          <w:lang w:val="fr-CA"/>
        </w:rPr>
        <w:t>].</w:t>
      </w:r>
    </w:p>
    <w:p w14:paraId="59508880" w14:textId="1A8CA9C5" w:rsidR="00037C7E" w:rsidRPr="00986BEB" w:rsidRDefault="000B08F2">
      <w:pPr>
        <w:pStyle w:val="StandardL3"/>
        <w:rPr>
          <w:lang w:val="fr-CA"/>
        </w:rPr>
      </w:pPr>
      <w:bookmarkStart w:id="299" w:name="_Ref448380628"/>
      <w:r w:rsidRPr="009D4254">
        <w:rPr>
          <w:lang w:val="fr-CA"/>
        </w:rPr>
        <w:t xml:space="preserve">La Société </w:t>
      </w:r>
      <w:r w:rsidR="0059083D" w:rsidRPr="009D4254">
        <w:rPr>
          <w:lang w:val="fr-CA"/>
        </w:rPr>
        <w:t xml:space="preserve">remet à chaque Investisseur important un avis </w:t>
      </w:r>
      <w:r w:rsidRPr="009D4254">
        <w:rPr>
          <w:lang w:val="fr-CA"/>
        </w:rPr>
        <w:t>(</w:t>
      </w:r>
      <w:r w:rsidR="0059083D" w:rsidRPr="009D4254">
        <w:rPr>
          <w:lang w:val="fr-CA"/>
        </w:rPr>
        <w:t>l’</w:t>
      </w:r>
      <w:r w:rsidRPr="009D4254">
        <w:rPr>
          <w:lang w:val="fr-CA"/>
        </w:rPr>
        <w:t>« </w:t>
      </w:r>
      <w:r w:rsidR="0059083D" w:rsidRPr="009D4254">
        <w:rPr>
          <w:b/>
          <w:lang w:val="fr-CA"/>
        </w:rPr>
        <w:t>Avis d’offre</w:t>
      </w:r>
      <w:r w:rsidRPr="009D4254">
        <w:rPr>
          <w:lang w:val="fr-CA"/>
        </w:rPr>
        <w:t> »)</w:t>
      </w:r>
      <w:r w:rsidR="0059083D" w:rsidRPr="009D4254">
        <w:rPr>
          <w:lang w:val="fr-CA"/>
        </w:rPr>
        <w:t xml:space="preserve"> indiquant</w:t>
      </w:r>
      <w:bookmarkStart w:id="300" w:name="DocXTextRef244"/>
      <w:r w:rsidR="0059083D" w:rsidRPr="009D4254">
        <w:rPr>
          <w:lang w:val="fr-CA"/>
        </w:rPr>
        <w:t> </w:t>
      </w:r>
      <w:r w:rsidRPr="009D4254">
        <w:rPr>
          <w:lang w:val="fr-CA"/>
        </w:rPr>
        <w:t>(</w:t>
      </w:r>
      <w:r w:rsidRPr="00986BEB">
        <w:rPr>
          <w:lang w:val="fr-CA"/>
        </w:rPr>
        <w:t>i</w:t>
      </w:r>
      <w:r w:rsidRPr="009D4254">
        <w:rPr>
          <w:lang w:val="fr-CA"/>
        </w:rPr>
        <w:t>)</w:t>
      </w:r>
      <w:bookmarkEnd w:id="300"/>
      <w:r w:rsidR="0059083D" w:rsidRPr="009D4254">
        <w:rPr>
          <w:lang w:val="fr-CA"/>
        </w:rPr>
        <w:t xml:space="preserve"> son intention véritable d’offrir ces </w:t>
      </w:r>
      <w:r w:rsidR="008F27F3" w:rsidRPr="009D4254">
        <w:rPr>
          <w:lang w:val="fr-CA"/>
        </w:rPr>
        <w:t>Nouveaux titres</w:t>
      </w:r>
      <w:r w:rsidRPr="009D4254">
        <w:rPr>
          <w:lang w:val="fr-CA"/>
        </w:rPr>
        <w:t xml:space="preserve">, </w:t>
      </w:r>
      <w:bookmarkStart w:id="301" w:name="DocXTextRef245"/>
      <w:r w:rsidRPr="009D4254">
        <w:rPr>
          <w:lang w:val="fr-CA"/>
        </w:rPr>
        <w:t>(</w:t>
      </w:r>
      <w:r w:rsidRPr="00986BEB">
        <w:rPr>
          <w:lang w:val="fr-CA"/>
        </w:rPr>
        <w:t>ii</w:t>
      </w:r>
      <w:r w:rsidRPr="009D4254">
        <w:rPr>
          <w:lang w:val="fr-CA"/>
        </w:rPr>
        <w:t>)</w:t>
      </w:r>
      <w:bookmarkEnd w:id="301"/>
      <w:r w:rsidR="0059083D" w:rsidRPr="009D4254">
        <w:rPr>
          <w:lang w:val="fr-CA"/>
        </w:rPr>
        <w:t xml:space="preserve"> le nombre de </w:t>
      </w:r>
      <w:r w:rsidR="008F27F3" w:rsidRPr="009D4254">
        <w:rPr>
          <w:lang w:val="fr-CA"/>
        </w:rPr>
        <w:t>Nouveaux titres</w:t>
      </w:r>
      <w:r w:rsidRPr="009D4254">
        <w:rPr>
          <w:lang w:val="fr-CA"/>
        </w:rPr>
        <w:t xml:space="preserve"> </w:t>
      </w:r>
      <w:r w:rsidR="0059083D" w:rsidRPr="009D4254">
        <w:rPr>
          <w:lang w:val="fr-CA"/>
        </w:rPr>
        <w:t>offerts</w:t>
      </w:r>
      <w:r w:rsidR="00BF1DEF">
        <w:rPr>
          <w:lang w:val="fr-CA"/>
        </w:rPr>
        <w:t>,</w:t>
      </w:r>
      <w:r w:rsidRPr="009D4254">
        <w:rPr>
          <w:lang w:val="fr-CA"/>
        </w:rPr>
        <w:t xml:space="preserve"> </w:t>
      </w:r>
      <w:r w:rsidR="0059083D" w:rsidRPr="009D4254">
        <w:rPr>
          <w:lang w:val="fr-CA"/>
        </w:rPr>
        <w:t xml:space="preserve">et </w:t>
      </w:r>
      <w:bookmarkStart w:id="302" w:name="DocXTextRef246"/>
      <w:r w:rsidRPr="009D4254">
        <w:rPr>
          <w:lang w:val="fr-CA"/>
        </w:rPr>
        <w:t>(</w:t>
      </w:r>
      <w:r w:rsidRPr="00986BEB">
        <w:rPr>
          <w:lang w:val="fr-CA"/>
        </w:rPr>
        <w:t>iii</w:t>
      </w:r>
      <w:r w:rsidRPr="009D4254">
        <w:rPr>
          <w:lang w:val="fr-CA"/>
        </w:rPr>
        <w:t>)</w:t>
      </w:r>
      <w:bookmarkEnd w:id="302"/>
      <w:r w:rsidR="0059083D" w:rsidRPr="009D4254">
        <w:rPr>
          <w:lang w:val="fr-CA"/>
        </w:rPr>
        <w:t xml:space="preserve"> le cas échéant, le prix auquel et les modalités selon lesquelles il propose d’offrir ces </w:t>
      </w:r>
      <w:r w:rsidR="008F27F3" w:rsidRPr="009D4254">
        <w:rPr>
          <w:lang w:val="fr-CA"/>
        </w:rPr>
        <w:t>Nouveaux titres</w:t>
      </w:r>
      <w:r w:rsidRPr="009D4254">
        <w:rPr>
          <w:lang w:val="fr-CA"/>
        </w:rPr>
        <w:t>.</w:t>
      </w:r>
      <w:bookmarkEnd w:id="299"/>
    </w:p>
    <w:p w14:paraId="01916A80" w14:textId="07435EA7" w:rsidR="00037C7E" w:rsidRPr="00986BEB" w:rsidRDefault="0059083D" w:rsidP="0059083D">
      <w:pPr>
        <w:pStyle w:val="StandardL3"/>
        <w:rPr>
          <w:szCs w:val="16"/>
          <w:lang w:val="fr-CA"/>
        </w:rPr>
      </w:pPr>
      <w:bookmarkStart w:id="303" w:name="_Ref448380629"/>
      <w:r w:rsidRPr="009D4254">
        <w:rPr>
          <w:lang w:val="fr-CA"/>
        </w:rPr>
        <w:t xml:space="preserve">Chaque Investisseur peut, en remettant un avis à </w:t>
      </w:r>
      <w:r w:rsidR="000B08F2" w:rsidRPr="009D4254">
        <w:rPr>
          <w:lang w:val="fr-CA"/>
        </w:rPr>
        <w:t xml:space="preserve">la Société </w:t>
      </w:r>
      <w:r w:rsidRPr="009D4254">
        <w:rPr>
          <w:lang w:val="fr-CA"/>
        </w:rPr>
        <w:t xml:space="preserve">dans les vingt </w:t>
      </w:r>
      <w:r w:rsidR="000B08F2" w:rsidRPr="009D4254">
        <w:rPr>
          <w:lang w:val="fr-CA"/>
        </w:rPr>
        <w:t>(</w:t>
      </w:r>
      <w:r w:rsidR="000B08F2" w:rsidRPr="00986BEB">
        <w:rPr>
          <w:lang w:val="fr-CA"/>
        </w:rPr>
        <w:t>20</w:t>
      </w:r>
      <w:r w:rsidR="000B08F2" w:rsidRPr="009D4254">
        <w:rPr>
          <w:lang w:val="fr-CA"/>
        </w:rPr>
        <w:t>)</w:t>
      </w:r>
      <w:r w:rsidRPr="009D4254">
        <w:rPr>
          <w:lang w:val="fr-CA"/>
        </w:rPr>
        <w:t> jours suivant la remise de l’Avis d’offre</w:t>
      </w:r>
      <w:r w:rsidR="000B08F2" w:rsidRPr="009D4254">
        <w:rPr>
          <w:lang w:val="fr-CA"/>
        </w:rPr>
        <w:t xml:space="preserve">, </w:t>
      </w:r>
      <w:r w:rsidRPr="009D4254">
        <w:rPr>
          <w:lang w:val="fr-CA"/>
        </w:rPr>
        <w:t xml:space="preserve">choisir d’acheter ou d’acquérir autrement, au prix et selon les modalités précisées dans l’Avis d’offre, un nombre maximal de </w:t>
      </w:r>
      <w:r w:rsidR="008F27F3" w:rsidRPr="009D4254">
        <w:rPr>
          <w:lang w:val="fr-CA"/>
        </w:rPr>
        <w:t>Nouveaux titres</w:t>
      </w:r>
      <w:bookmarkStart w:id="304" w:name="_Ref448380716"/>
      <w:r w:rsidR="000B08F2" w:rsidRPr="00986BEB">
        <w:rPr>
          <w:rStyle w:val="FootnoteReference"/>
          <w:lang w:val="fr-CA"/>
        </w:rPr>
        <w:footnoteReference w:id="48"/>
      </w:r>
      <w:bookmarkEnd w:id="304"/>
      <w:r w:rsidR="000B08F2" w:rsidRPr="009D4254">
        <w:rPr>
          <w:lang w:val="fr-CA"/>
        </w:rPr>
        <w:t xml:space="preserve"> </w:t>
      </w:r>
      <w:r w:rsidRPr="009D4254">
        <w:rPr>
          <w:lang w:val="fr-CA"/>
        </w:rPr>
        <w:t xml:space="preserve">correspondant à la proportion que représentent les </w:t>
      </w:r>
      <w:r w:rsidR="000B08F2" w:rsidRPr="009D4254">
        <w:rPr>
          <w:lang w:val="fr-CA"/>
        </w:rPr>
        <w:t xml:space="preserve">Actions ordinaires </w:t>
      </w:r>
      <w:r w:rsidRPr="009D4254">
        <w:rPr>
          <w:lang w:val="fr-CA"/>
        </w:rPr>
        <w:t xml:space="preserve">alors détenues par cet </w:t>
      </w:r>
      <w:r w:rsidR="006C7CDF" w:rsidRPr="009D4254">
        <w:rPr>
          <w:lang w:val="fr-CA"/>
        </w:rPr>
        <w:t>Investisseur important</w:t>
      </w:r>
      <w:r w:rsidR="000B08F2" w:rsidRPr="009D4254">
        <w:rPr>
          <w:lang w:val="fr-CA"/>
        </w:rPr>
        <w:t xml:space="preserve"> (</w:t>
      </w:r>
      <w:r w:rsidRPr="009D4254">
        <w:rPr>
          <w:lang w:val="fr-CA"/>
        </w:rPr>
        <w:t xml:space="preserve">compte tenu de toutes les </w:t>
      </w:r>
      <w:r w:rsidR="000B08F2" w:rsidRPr="009D4254">
        <w:rPr>
          <w:lang w:val="fr-CA"/>
        </w:rPr>
        <w:t xml:space="preserve">Actions ordinaires </w:t>
      </w:r>
      <w:r w:rsidRPr="009D4254">
        <w:rPr>
          <w:lang w:val="fr-CA"/>
        </w:rPr>
        <w:t xml:space="preserve">pouvant alors être émises </w:t>
      </w:r>
      <w:r w:rsidR="000B08F2" w:rsidRPr="009D4254">
        <w:rPr>
          <w:lang w:val="fr-CA"/>
        </w:rPr>
        <w:t>(</w:t>
      </w:r>
      <w:r w:rsidR="002A0F83" w:rsidRPr="009D4254">
        <w:rPr>
          <w:lang w:val="fr-CA"/>
        </w:rPr>
        <w:t>directement</w:t>
      </w:r>
      <w:r w:rsidR="000B08F2" w:rsidRPr="009D4254">
        <w:rPr>
          <w:lang w:val="fr-CA"/>
        </w:rPr>
        <w:t xml:space="preserve"> </w:t>
      </w:r>
      <w:r w:rsidRPr="009D4254">
        <w:rPr>
          <w:lang w:val="fr-CA"/>
        </w:rPr>
        <w:t>ou</w:t>
      </w:r>
      <w:r w:rsidR="000B08F2" w:rsidRPr="009D4254">
        <w:rPr>
          <w:lang w:val="fr-CA"/>
        </w:rPr>
        <w:t xml:space="preserve"> in</w:t>
      </w:r>
      <w:r w:rsidR="002A0F83" w:rsidRPr="009D4254">
        <w:rPr>
          <w:lang w:val="fr-CA"/>
        </w:rPr>
        <w:t>directement</w:t>
      </w:r>
      <w:r w:rsidR="000B08F2" w:rsidRPr="009D4254">
        <w:rPr>
          <w:lang w:val="fr-CA"/>
        </w:rPr>
        <w:t xml:space="preserve">) </w:t>
      </w:r>
      <w:r w:rsidRPr="009D4254">
        <w:rPr>
          <w:lang w:val="fr-CA"/>
        </w:rPr>
        <w:t xml:space="preserve">à la </w:t>
      </w:r>
      <w:r w:rsidR="000B08F2" w:rsidRPr="009D4254">
        <w:rPr>
          <w:lang w:val="fr-CA"/>
        </w:rPr>
        <w:t xml:space="preserve">conversion et/ou </w:t>
      </w:r>
      <w:r w:rsidRPr="009D4254">
        <w:rPr>
          <w:lang w:val="fr-CA"/>
        </w:rPr>
        <w:t>à l’</w:t>
      </w:r>
      <w:r w:rsidR="000B08F2" w:rsidRPr="009D4254">
        <w:rPr>
          <w:lang w:val="fr-CA"/>
        </w:rPr>
        <w:t>exerci</w:t>
      </w:r>
      <w:r w:rsidRPr="009D4254">
        <w:rPr>
          <w:lang w:val="fr-CA"/>
        </w:rPr>
        <w:t>c</w:t>
      </w:r>
      <w:r w:rsidR="000B08F2" w:rsidRPr="009D4254">
        <w:rPr>
          <w:lang w:val="fr-CA"/>
        </w:rPr>
        <w:t xml:space="preserve">e, </w:t>
      </w:r>
      <w:r w:rsidRPr="009D4254">
        <w:rPr>
          <w:lang w:val="fr-CA"/>
        </w:rPr>
        <w:t xml:space="preserve">selon le cas, des </w:t>
      </w:r>
      <w:r w:rsidR="004B6285" w:rsidRPr="009D4254">
        <w:rPr>
          <w:lang w:val="fr-CA"/>
        </w:rPr>
        <w:t>Actions privilégiées [de catégorie A]</w:t>
      </w:r>
      <w:r w:rsidR="000B08F2" w:rsidRPr="009D4254">
        <w:rPr>
          <w:lang w:val="fr-CA"/>
        </w:rPr>
        <w:t xml:space="preserve"> </w:t>
      </w:r>
      <w:r w:rsidRPr="009D4254">
        <w:rPr>
          <w:lang w:val="fr-CA"/>
        </w:rPr>
        <w:t xml:space="preserve">et des autres </w:t>
      </w:r>
      <w:r w:rsidR="00F52467" w:rsidRPr="009D4254">
        <w:rPr>
          <w:lang w:val="fr-CA"/>
        </w:rPr>
        <w:t>Instruments dérivés</w:t>
      </w:r>
      <w:r w:rsidR="000B08F2" w:rsidRPr="009D4254">
        <w:rPr>
          <w:lang w:val="fr-CA"/>
        </w:rPr>
        <w:t xml:space="preserve"> </w:t>
      </w:r>
      <w:r w:rsidRPr="009D4254">
        <w:rPr>
          <w:lang w:val="fr-CA"/>
        </w:rPr>
        <w:t xml:space="preserve">alors détenus par cet </w:t>
      </w:r>
      <w:r w:rsidR="006C7CDF" w:rsidRPr="009D4254">
        <w:rPr>
          <w:lang w:val="fr-CA"/>
        </w:rPr>
        <w:t>Investisseur important</w:t>
      </w:r>
      <w:r w:rsidR="000B08F2" w:rsidRPr="009D4254">
        <w:rPr>
          <w:lang w:val="fr-CA"/>
        </w:rPr>
        <w:t xml:space="preserve">) </w:t>
      </w:r>
      <w:r w:rsidRPr="009D4254">
        <w:rPr>
          <w:lang w:val="fr-CA"/>
        </w:rPr>
        <w:t>par rapport au nombre total d’</w:t>
      </w:r>
      <w:r w:rsidR="000B08F2" w:rsidRPr="009D4254">
        <w:rPr>
          <w:lang w:val="fr-CA"/>
        </w:rPr>
        <w:t>Actions ordinaires de la Société [</w:t>
      </w:r>
      <w:r w:rsidR="002A0F83" w:rsidRPr="009D4254">
        <w:rPr>
          <w:lang w:val="fr-CA"/>
        </w:rPr>
        <w:t>alors en circulation</w:t>
      </w:r>
      <w:r w:rsidR="000B08F2" w:rsidRPr="009D4254">
        <w:rPr>
          <w:lang w:val="fr-CA"/>
        </w:rPr>
        <w:t xml:space="preserve"> (</w:t>
      </w:r>
      <w:r w:rsidRPr="009D4254">
        <w:rPr>
          <w:lang w:val="fr-CA"/>
        </w:rPr>
        <w:t xml:space="preserve">dans l’hypothèse où la totalité des Actions privilégiées [de catégorie A] et des autres Instruments dérivés alors en circulation sont pleinement convertis </w:t>
      </w:r>
      <w:r w:rsidR="000B08F2" w:rsidRPr="009D4254">
        <w:rPr>
          <w:lang w:val="fr-CA"/>
        </w:rPr>
        <w:t xml:space="preserve">et/ou </w:t>
      </w:r>
      <w:r w:rsidRPr="009D4254">
        <w:rPr>
          <w:lang w:val="fr-CA"/>
        </w:rPr>
        <w:t>exercés, selon le cas</w:t>
      </w:r>
      <w:r w:rsidR="000B08F2" w:rsidRPr="009D4254">
        <w:rPr>
          <w:lang w:val="fr-CA"/>
        </w:rPr>
        <w:t>)][</w:t>
      </w:r>
      <w:r w:rsidRPr="009D4254">
        <w:rPr>
          <w:i/>
          <w:szCs w:val="16"/>
          <w:lang w:val="fr-CA"/>
        </w:rPr>
        <w:t>Variante </w:t>
      </w:r>
      <w:r w:rsidR="000B08F2" w:rsidRPr="009D4254">
        <w:rPr>
          <w:i/>
          <w:szCs w:val="16"/>
          <w:lang w:val="fr-CA"/>
        </w:rPr>
        <w:t>:</w:t>
      </w:r>
      <w:r w:rsidR="000B08F2" w:rsidRPr="009D4254">
        <w:rPr>
          <w:szCs w:val="16"/>
          <w:lang w:val="fr-CA"/>
        </w:rPr>
        <w:t xml:space="preserve"> </w:t>
      </w:r>
      <w:r w:rsidRPr="009D4254">
        <w:rPr>
          <w:szCs w:val="16"/>
          <w:lang w:val="fr-CA"/>
        </w:rPr>
        <w:t xml:space="preserve">alors détenues par tous les </w:t>
      </w:r>
      <w:r w:rsidR="006C7CDF" w:rsidRPr="009D4254">
        <w:rPr>
          <w:szCs w:val="16"/>
          <w:lang w:val="fr-CA"/>
        </w:rPr>
        <w:t>Investisseurs importants</w:t>
      </w:r>
      <w:r w:rsidR="000B08F2" w:rsidRPr="009D4254">
        <w:rPr>
          <w:szCs w:val="16"/>
          <w:lang w:val="fr-CA"/>
        </w:rPr>
        <w:t xml:space="preserve"> (</w:t>
      </w:r>
      <w:r w:rsidRPr="009D4254">
        <w:rPr>
          <w:szCs w:val="16"/>
          <w:lang w:val="fr-CA"/>
        </w:rPr>
        <w:t xml:space="preserve">compte tenu de toutes les </w:t>
      </w:r>
      <w:r w:rsidR="000B08F2" w:rsidRPr="009D4254">
        <w:rPr>
          <w:szCs w:val="16"/>
          <w:lang w:val="fr-CA"/>
        </w:rPr>
        <w:t xml:space="preserve">Actions ordinaires </w:t>
      </w:r>
      <w:r w:rsidRPr="009D4254">
        <w:rPr>
          <w:szCs w:val="16"/>
          <w:lang w:val="fr-CA"/>
        </w:rPr>
        <w:t xml:space="preserve">pouvant être émises </w:t>
      </w:r>
      <w:r w:rsidR="000B08F2" w:rsidRPr="009D4254">
        <w:rPr>
          <w:szCs w:val="16"/>
          <w:lang w:val="fr-CA"/>
        </w:rPr>
        <w:t>(</w:t>
      </w:r>
      <w:r w:rsidR="002A0F83" w:rsidRPr="009D4254">
        <w:rPr>
          <w:szCs w:val="16"/>
          <w:lang w:val="fr-CA"/>
        </w:rPr>
        <w:t>directement</w:t>
      </w:r>
      <w:r w:rsidR="000B08F2" w:rsidRPr="009D4254">
        <w:rPr>
          <w:szCs w:val="16"/>
          <w:lang w:val="fr-CA"/>
        </w:rPr>
        <w:t xml:space="preserve"> </w:t>
      </w:r>
      <w:r w:rsidRPr="009D4254">
        <w:rPr>
          <w:szCs w:val="16"/>
          <w:lang w:val="fr-CA"/>
        </w:rPr>
        <w:t>ou</w:t>
      </w:r>
      <w:r w:rsidR="000B08F2" w:rsidRPr="009D4254">
        <w:rPr>
          <w:szCs w:val="16"/>
          <w:lang w:val="fr-CA"/>
        </w:rPr>
        <w:t xml:space="preserve"> in</w:t>
      </w:r>
      <w:r w:rsidR="002A0F83" w:rsidRPr="009D4254">
        <w:rPr>
          <w:szCs w:val="16"/>
          <w:lang w:val="fr-CA"/>
        </w:rPr>
        <w:t>directement</w:t>
      </w:r>
      <w:r w:rsidR="000B08F2" w:rsidRPr="009D4254">
        <w:rPr>
          <w:szCs w:val="16"/>
          <w:lang w:val="fr-CA"/>
        </w:rPr>
        <w:t xml:space="preserve">) </w:t>
      </w:r>
      <w:r w:rsidRPr="009D4254">
        <w:rPr>
          <w:szCs w:val="16"/>
          <w:lang w:val="fr-CA"/>
        </w:rPr>
        <w:t xml:space="preserve">à la </w:t>
      </w:r>
      <w:r w:rsidR="000B08F2" w:rsidRPr="009D4254">
        <w:rPr>
          <w:szCs w:val="16"/>
          <w:lang w:val="fr-CA"/>
        </w:rPr>
        <w:t xml:space="preserve">conversion et/ou </w:t>
      </w:r>
      <w:r w:rsidRPr="009D4254">
        <w:rPr>
          <w:szCs w:val="16"/>
          <w:lang w:val="fr-CA"/>
        </w:rPr>
        <w:t xml:space="preserve">à l’exercice, selon le cas, des </w:t>
      </w:r>
      <w:r w:rsidR="004B6285" w:rsidRPr="009D4254">
        <w:rPr>
          <w:szCs w:val="16"/>
          <w:lang w:val="fr-CA"/>
        </w:rPr>
        <w:t>Actions privilégiées [de catégorie A]</w:t>
      </w:r>
      <w:r w:rsidR="000B08F2" w:rsidRPr="009D4254">
        <w:rPr>
          <w:szCs w:val="16"/>
          <w:lang w:val="fr-CA"/>
        </w:rPr>
        <w:t xml:space="preserve"> </w:t>
      </w:r>
      <w:r w:rsidRPr="009D4254">
        <w:rPr>
          <w:szCs w:val="16"/>
          <w:lang w:val="fr-CA"/>
        </w:rPr>
        <w:t xml:space="preserve">et des autres </w:t>
      </w:r>
      <w:r w:rsidR="00F52467" w:rsidRPr="009D4254">
        <w:rPr>
          <w:szCs w:val="16"/>
          <w:lang w:val="fr-CA"/>
        </w:rPr>
        <w:t>Instruments dérivés</w:t>
      </w:r>
      <w:r w:rsidRPr="009D4254">
        <w:rPr>
          <w:szCs w:val="16"/>
          <w:lang w:val="fr-CA"/>
        </w:rPr>
        <w:t xml:space="preserve"> alors détenus par les </w:t>
      </w:r>
      <w:r w:rsidR="006C7CDF" w:rsidRPr="009D4254">
        <w:rPr>
          <w:lang w:val="fr-CA"/>
        </w:rPr>
        <w:t>Investisseurs importants</w:t>
      </w:r>
      <w:r w:rsidR="000B08F2" w:rsidRPr="009D4254">
        <w:rPr>
          <w:lang w:val="fr-CA"/>
        </w:rPr>
        <w:t>)</w:t>
      </w:r>
      <w:bookmarkStart w:id="306" w:name="_Ref448380717"/>
      <w:r w:rsidR="000B08F2" w:rsidRPr="00986BEB">
        <w:rPr>
          <w:rStyle w:val="FootnoteReference"/>
          <w:lang w:val="fr-CA"/>
        </w:rPr>
        <w:footnoteReference w:id="49"/>
      </w:r>
      <w:bookmarkEnd w:id="306"/>
      <w:r w:rsidR="0065307E" w:rsidRPr="009D4254">
        <w:rPr>
          <w:lang w:val="fr-CA"/>
        </w:rPr>
        <w:t>]</w:t>
      </w:r>
      <w:r w:rsidRPr="0059083D">
        <w:rPr>
          <w:lang w:val="fr-CA"/>
        </w:rPr>
        <w:t>.</w:t>
      </w:r>
      <w:r w:rsidR="000B08F2" w:rsidRPr="0059083D">
        <w:rPr>
          <w:lang w:val="fr-CA"/>
        </w:rPr>
        <w:t xml:space="preserve"> </w:t>
      </w:r>
      <w:r w:rsidRPr="0059083D">
        <w:rPr>
          <w:lang w:val="fr-CA"/>
        </w:rPr>
        <w:t xml:space="preserve">À l’expiration de </w:t>
      </w:r>
      <w:r w:rsidR="0065307E">
        <w:rPr>
          <w:lang w:val="fr-CA"/>
        </w:rPr>
        <w:t>cette</w:t>
      </w:r>
      <w:r w:rsidRPr="0059083D">
        <w:rPr>
          <w:lang w:val="fr-CA"/>
        </w:rPr>
        <w:t xml:space="preserve"> période de vingt</w:t>
      </w:r>
      <w:r w:rsidRPr="009D4254">
        <w:rPr>
          <w:lang w:val="fr-CA"/>
        </w:rPr>
        <w:t xml:space="preserve"> </w:t>
      </w:r>
      <w:r w:rsidR="000B08F2" w:rsidRPr="009D4254">
        <w:rPr>
          <w:lang w:val="fr-CA"/>
        </w:rPr>
        <w:t>(</w:t>
      </w:r>
      <w:r w:rsidR="000B08F2" w:rsidRPr="00986BEB">
        <w:rPr>
          <w:lang w:val="fr-CA"/>
        </w:rPr>
        <w:t>20</w:t>
      </w:r>
      <w:r w:rsidR="000B08F2" w:rsidRPr="009D4254">
        <w:rPr>
          <w:lang w:val="fr-CA"/>
        </w:rPr>
        <w:t>)</w:t>
      </w:r>
      <w:r w:rsidRPr="009D4254">
        <w:rPr>
          <w:lang w:val="fr-CA"/>
        </w:rPr>
        <w:t> jours</w:t>
      </w:r>
      <w:r w:rsidR="000B08F2" w:rsidRPr="009D4254">
        <w:rPr>
          <w:lang w:val="fr-CA"/>
        </w:rPr>
        <w:t xml:space="preserve">, la Société </w:t>
      </w:r>
      <w:r w:rsidRPr="009D4254">
        <w:rPr>
          <w:lang w:val="fr-CA"/>
        </w:rPr>
        <w:t xml:space="preserve">avise sans délai chaque </w:t>
      </w:r>
      <w:r w:rsidR="006C7CDF" w:rsidRPr="009D4254">
        <w:rPr>
          <w:lang w:val="fr-CA"/>
        </w:rPr>
        <w:t>Investisseur important</w:t>
      </w:r>
      <w:r w:rsidR="000B08F2" w:rsidRPr="009D4254">
        <w:rPr>
          <w:lang w:val="fr-CA"/>
        </w:rPr>
        <w:t xml:space="preserve"> </w:t>
      </w:r>
      <w:r w:rsidRPr="009D4254">
        <w:rPr>
          <w:lang w:val="fr-CA"/>
        </w:rPr>
        <w:t xml:space="preserve">qui choisit d’acheter ou d’acquérir la totalité des actions auxquelles il a droit </w:t>
      </w:r>
      <w:r w:rsidR="000B08F2" w:rsidRPr="009D4254">
        <w:rPr>
          <w:lang w:val="fr-CA"/>
        </w:rPr>
        <w:t>(</w:t>
      </w:r>
      <w:r w:rsidRPr="009D4254">
        <w:rPr>
          <w:lang w:val="fr-CA"/>
        </w:rPr>
        <w:t>chacun, un « </w:t>
      </w:r>
      <w:r w:rsidRPr="009D4254">
        <w:rPr>
          <w:b/>
          <w:lang w:val="fr-CA"/>
        </w:rPr>
        <w:t>Investisseur qui exerce pleinement son droit d’achat</w:t>
      </w:r>
      <w:r w:rsidRPr="009D4254">
        <w:rPr>
          <w:lang w:val="fr-CA"/>
        </w:rPr>
        <w:t> »</w:t>
      </w:r>
      <w:r w:rsidR="000B08F2" w:rsidRPr="009D4254">
        <w:rPr>
          <w:szCs w:val="16"/>
          <w:lang w:val="fr-CA"/>
        </w:rPr>
        <w:t xml:space="preserve">) </w:t>
      </w:r>
      <w:r w:rsidR="0065307E">
        <w:rPr>
          <w:szCs w:val="16"/>
          <w:lang w:val="fr-CA"/>
        </w:rPr>
        <w:t xml:space="preserve">du choix </w:t>
      </w:r>
      <w:r w:rsidRPr="009D4254">
        <w:rPr>
          <w:szCs w:val="16"/>
          <w:lang w:val="fr-CA"/>
        </w:rPr>
        <w:t xml:space="preserve">de tout autre </w:t>
      </w:r>
      <w:r w:rsidR="006C7CDF" w:rsidRPr="009D4254">
        <w:rPr>
          <w:szCs w:val="16"/>
          <w:lang w:val="fr-CA"/>
        </w:rPr>
        <w:t>Investisseur important</w:t>
      </w:r>
      <w:r w:rsidRPr="009D4254">
        <w:rPr>
          <w:szCs w:val="16"/>
          <w:lang w:val="fr-CA"/>
        </w:rPr>
        <w:t xml:space="preserve"> de </w:t>
      </w:r>
      <w:r w:rsidR="0065307E">
        <w:rPr>
          <w:szCs w:val="16"/>
          <w:lang w:val="fr-CA"/>
        </w:rPr>
        <w:t xml:space="preserve">ne pas le </w:t>
      </w:r>
      <w:r w:rsidRPr="009D4254">
        <w:rPr>
          <w:szCs w:val="16"/>
          <w:lang w:val="fr-CA"/>
        </w:rPr>
        <w:t>faire</w:t>
      </w:r>
      <w:r w:rsidR="000B08F2" w:rsidRPr="009D4254">
        <w:rPr>
          <w:szCs w:val="16"/>
          <w:lang w:val="fr-CA"/>
        </w:rPr>
        <w:t>.</w:t>
      </w:r>
      <w:r w:rsidR="000B08F2" w:rsidRPr="0059083D">
        <w:rPr>
          <w:szCs w:val="16"/>
          <w:lang w:val="fr-CA"/>
        </w:rPr>
        <w:t xml:space="preserve"> </w:t>
      </w:r>
      <w:r w:rsidRPr="0059083D">
        <w:rPr>
          <w:color w:val="000000"/>
          <w:lang w:val="fr-CA"/>
        </w:rPr>
        <w:t>Pendant la période de dix (</w:t>
      </w:r>
      <w:r w:rsidRPr="00986BEB">
        <w:rPr>
          <w:color w:val="000000"/>
          <w:lang w:val="fr-CA"/>
        </w:rPr>
        <w:t>10</w:t>
      </w:r>
      <w:r w:rsidRPr="0059083D">
        <w:rPr>
          <w:color w:val="000000"/>
          <w:lang w:val="fr-CA"/>
        </w:rPr>
        <w:t>)</w:t>
      </w:r>
      <w:r>
        <w:rPr>
          <w:color w:val="000000"/>
          <w:lang w:val="fr-CA"/>
        </w:rPr>
        <w:t> </w:t>
      </w:r>
      <w:r w:rsidRPr="0059083D">
        <w:rPr>
          <w:color w:val="000000"/>
          <w:lang w:val="fr-CA"/>
        </w:rPr>
        <w:t xml:space="preserve">jours commençant après que la Société a remis </w:t>
      </w:r>
      <w:r>
        <w:rPr>
          <w:color w:val="000000"/>
          <w:lang w:val="fr-CA"/>
        </w:rPr>
        <w:t>cet</w:t>
      </w:r>
      <w:r w:rsidRPr="0059083D">
        <w:rPr>
          <w:color w:val="000000"/>
          <w:lang w:val="fr-CA"/>
        </w:rPr>
        <w:t xml:space="preserve"> avis, chaque Investisseur qui exerce pleinement son droit d’achat peut, </w:t>
      </w:r>
      <w:r>
        <w:rPr>
          <w:color w:val="000000"/>
          <w:lang w:val="fr-CA"/>
        </w:rPr>
        <w:t xml:space="preserve">en remettant un </w:t>
      </w:r>
      <w:r w:rsidRPr="0059083D">
        <w:rPr>
          <w:color w:val="000000"/>
          <w:lang w:val="fr-CA"/>
        </w:rPr>
        <w:t xml:space="preserve">avis à la Société, choisir d’acheter ou d’acquérir, en plus du nombre d’actions </w:t>
      </w:r>
      <w:r>
        <w:rPr>
          <w:color w:val="000000"/>
          <w:lang w:val="fr-CA"/>
        </w:rPr>
        <w:t>susmentionné</w:t>
      </w:r>
      <w:r w:rsidRPr="0059083D">
        <w:rPr>
          <w:color w:val="000000"/>
          <w:lang w:val="fr-CA"/>
        </w:rPr>
        <w:t>, un</w:t>
      </w:r>
      <w:r>
        <w:rPr>
          <w:color w:val="000000"/>
          <w:lang w:val="fr-CA"/>
        </w:rPr>
        <w:t xml:space="preserve"> nombre </w:t>
      </w:r>
      <w:r w:rsidRPr="0059083D">
        <w:rPr>
          <w:color w:val="000000"/>
          <w:lang w:val="fr-CA"/>
        </w:rPr>
        <w:t>maximal de</w:t>
      </w:r>
      <w:r>
        <w:rPr>
          <w:color w:val="000000"/>
          <w:lang w:val="fr-CA"/>
        </w:rPr>
        <w:t>s</w:t>
      </w:r>
      <w:r w:rsidRPr="0059083D">
        <w:rPr>
          <w:color w:val="000000"/>
          <w:lang w:val="fr-CA"/>
        </w:rPr>
        <w:t xml:space="preserve"> Nouveaux titres que les </w:t>
      </w:r>
      <w:r>
        <w:rPr>
          <w:color w:val="000000"/>
          <w:lang w:val="fr-CA"/>
        </w:rPr>
        <w:t xml:space="preserve">Investisseurs importants </w:t>
      </w:r>
      <w:r w:rsidRPr="0059083D">
        <w:rPr>
          <w:color w:val="000000"/>
          <w:lang w:val="fr-CA"/>
        </w:rPr>
        <w:t>avaient le droit de souscrire</w:t>
      </w:r>
      <w:r w:rsidR="00DF73B5">
        <w:rPr>
          <w:color w:val="000000"/>
          <w:lang w:val="fr-CA"/>
        </w:rPr>
        <w:t>,</w:t>
      </w:r>
      <w:r w:rsidRPr="0059083D">
        <w:rPr>
          <w:color w:val="000000"/>
          <w:lang w:val="fr-CA"/>
        </w:rPr>
        <w:t xml:space="preserve"> mais qu</w:t>
      </w:r>
      <w:r>
        <w:rPr>
          <w:color w:val="000000"/>
          <w:lang w:val="fr-CA"/>
        </w:rPr>
        <w:t xml:space="preserve">’ils </w:t>
      </w:r>
      <w:r w:rsidRPr="0059083D">
        <w:rPr>
          <w:color w:val="000000"/>
          <w:lang w:val="fr-CA"/>
        </w:rPr>
        <w:t xml:space="preserve">n’ont pas souscrits correspondant à la proportion que </w:t>
      </w:r>
      <w:r>
        <w:rPr>
          <w:color w:val="000000"/>
          <w:lang w:val="fr-CA"/>
        </w:rPr>
        <w:t xml:space="preserve">représentent </w:t>
      </w:r>
      <w:r w:rsidRPr="0059083D">
        <w:rPr>
          <w:color w:val="000000"/>
          <w:lang w:val="fr-CA"/>
        </w:rPr>
        <w:t>les Actions ordinaires émises et détenues</w:t>
      </w:r>
      <w:r>
        <w:rPr>
          <w:color w:val="000000"/>
          <w:lang w:val="fr-CA"/>
        </w:rPr>
        <w:t>, ou pouvant être émises (directement ou indirectement) à la conversion et/ou à l’échange, selon le cas,</w:t>
      </w:r>
      <w:r w:rsidRPr="009D4254">
        <w:rPr>
          <w:szCs w:val="16"/>
          <w:lang w:val="fr-CA"/>
        </w:rPr>
        <w:t xml:space="preserve"> des Actions privilégiées [de catégorie A] et des autres Instruments dérivés alors détenus, </w:t>
      </w:r>
      <w:r w:rsidRPr="0059083D">
        <w:rPr>
          <w:color w:val="000000"/>
          <w:lang w:val="fr-CA"/>
        </w:rPr>
        <w:t xml:space="preserve">par l’Investisseur qui exerce pleinement son droit d’achat </w:t>
      </w:r>
      <w:r>
        <w:rPr>
          <w:color w:val="000000"/>
          <w:lang w:val="fr-CA"/>
        </w:rPr>
        <w:t xml:space="preserve">par rapport aux </w:t>
      </w:r>
      <w:r w:rsidRPr="0059083D">
        <w:rPr>
          <w:color w:val="000000"/>
          <w:lang w:val="fr-CA"/>
        </w:rPr>
        <w:t>Actions ordinaires émises et détenues</w:t>
      </w:r>
      <w:r>
        <w:rPr>
          <w:color w:val="000000"/>
          <w:lang w:val="fr-CA"/>
        </w:rPr>
        <w:t>, ou pouvant être émises (directement ou indirectement) à la conversion et/ou à l’échange, selon le cas,</w:t>
      </w:r>
      <w:r w:rsidRPr="009D4254">
        <w:rPr>
          <w:szCs w:val="16"/>
          <w:lang w:val="fr-CA"/>
        </w:rPr>
        <w:t xml:space="preserve"> des Actions privilégiées [de catégorie A] et des autres Instruments dérivés alors détenus</w:t>
      </w:r>
      <w:r>
        <w:rPr>
          <w:szCs w:val="16"/>
          <w:lang w:val="fr-CA"/>
        </w:rPr>
        <w:t xml:space="preserve">, </w:t>
      </w:r>
      <w:r w:rsidRPr="0059083D">
        <w:rPr>
          <w:color w:val="000000"/>
          <w:lang w:val="fr-CA"/>
        </w:rPr>
        <w:t xml:space="preserve">par tous les Investisseurs qui exercent pleinement leur droit d’achat qui souhaitent acheter </w:t>
      </w:r>
      <w:r>
        <w:rPr>
          <w:color w:val="000000"/>
          <w:lang w:val="fr-CA"/>
        </w:rPr>
        <w:t xml:space="preserve">ces actions </w:t>
      </w:r>
      <w:r w:rsidRPr="0059083D">
        <w:rPr>
          <w:color w:val="000000"/>
          <w:lang w:val="fr-CA"/>
        </w:rPr>
        <w:t>non souscrit</w:t>
      </w:r>
      <w:r>
        <w:rPr>
          <w:color w:val="000000"/>
          <w:lang w:val="fr-CA"/>
        </w:rPr>
        <w:t>e</w:t>
      </w:r>
      <w:r w:rsidRPr="0059083D">
        <w:rPr>
          <w:color w:val="000000"/>
          <w:lang w:val="fr-CA"/>
        </w:rPr>
        <w:t>s</w:t>
      </w:r>
      <w:bookmarkStart w:id="307" w:name="_Ref448380718"/>
      <w:r w:rsidR="000B08F2" w:rsidRPr="00986BEB">
        <w:rPr>
          <w:rStyle w:val="FootnoteReference"/>
          <w:lang w:val="fr-CA"/>
        </w:rPr>
        <w:footnoteReference w:id="50"/>
      </w:r>
      <w:bookmarkEnd w:id="307"/>
      <w:r>
        <w:rPr>
          <w:color w:val="000000"/>
          <w:lang w:val="fr-CA"/>
        </w:rPr>
        <w:t>.</w:t>
      </w:r>
      <w:r w:rsidR="000B08F2" w:rsidRPr="0059083D">
        <w:rPr>
          <w:lang w:val="fr-CA"/>
        </w:rPr>
        <w:t xml:space="preserve"> </w:t>
      </w:r>
      <w:r>
        <w:rPr>
          <w:lang w:val="fr-CA"/>
        </w:rPr>
        <w:t xml:space="preserve">La clôture de toute vente conformément au présent </w:t>
      </w:r>
      <w:r w:rsidR="0006561D" w:rsidRPr="009D4254">
        <w:rPr>
          <w:u w:val="single"/>
          <w:lang w:val="fr-CA"/>
        </w:rPr>
        <w:t>alinéa </w:t>
      </w:r>
      <w:r w:rsidR="000B08F2" w:rsidRPr="00986BEB">
        <w:rPr>
          <w:u w:val="single"/>
          <w:lang w:val="fr-CA"/>
        </w:rPr>
        <w:fldChar w:fldCharType="begin"/>
      </w:r>
      <w:r w:rsidR="000B08F2" w:rsidRPr="00986BEB">
        <w:rPr>
          <w:u w:val="single"/>
          <w:lang w:val="fr-CA"/>
        </w:rPr>
        <w:instrText xml:space="preserve">  REF _Ref448380629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4.1b)</w:t>
      </w:r>
      <w:r w:rsidR="000B08F2" w:rsidRPr="00986BEB">
        <w:rPr>
          <w:u w:val="single"/>
          <w:lang w:val="fr-CA"/>
        </w:rPr>
        <w:fldChar w:fldCharType="end"/>
      </w:r>
      <w:r w:rsidR="000B08F2" w:rsidRPr="009D4254">
        <w:rPr>
          <w:lang w:val="fr-CA"/>
        </w:rPr>
        <w:t xml:space="preserve"> </w:t>
      </w:r>
      <w:r w:rsidRPr="009D4254">
        <w:rPr>
          <w:lang w:val="fr-CA"/>
        </w:rPr>
        <w:t xml:space="preserve">doit avoir lieu au plus tard </w:t>
      </w:r>
      <w:r w:rsidR="000B08F2" w:rsidRPr="009D4254">
        <w:rPr>
          <w:lang w:val="fr-CA"/>
        </w:rPr>
        <w:t>[</w:t>
      </w:r>
      <w:r w:rsidRPr="009D4254">
        <w:rPr>
          <w:lang w:val="fr-CA"/>
        </w:rPr>
        <w:t>le quatre</w:t>
      </w:r>
      <w:r w:rsidR="0065307E">
        <w:rPr>
          <w:lang w:val="fr-CA"/>
        </w:rPr>
        <w:noBreakHyphen/>
      </w:r>
      <w:r w:rsidRPr="009D4254">
        <w:rPr>
          <w:lang w:val="fr-CA"/>
        </w:rPr>
        <w:t>vingt</w:t>
      </w:r>
      <w:r w:rsidR="0065307E">
        <w:rPr>
          <w:lang w:val="fr-CA"/>
        </w:rPr>
        <w:noBreakHyphen/>
      </w:r>
      <w:r w:rsidRPr="009D4254">
        <w:rPr>
          <w:lang w:val="fr-CA"/>
        </w:rPr>
        <w:t>dixième</w:t>
      </w:r>
      <w:r w:rsidR="0065307E">
        <w:rPr>
          <w:lang w:val="fr-CA"/>
        </w:rPr>
        <w:t xml:space="preserve"> </w:t>
      </w:r>
      <w:r w:rsidR="000B08F2" w:rsidRPr="009D4254">
        <w:rPr>
          <w:lang w:val="fr-CA"/>
        </w:rPr>
        <w:t>/</w:t>
      </w:r>
      <w:r w:rsidR="0065307E">
        <w:rPr>
          <w:lang w:val="fr-CA"/>
        </w:rPr>
        <w:t xml:space="preserve"> </w:t>
      </w:r>
      <w:r w:rsidRPr="009D4254">
        <w:rPr>
          <w:lang w:val="fr-CA"/>
        </w:rPr>
        <w:t xml:space="preserve">cent vingtième </w:t>
      </w:r>
      <w:r w:rsidR="000B08F2" w:rsidRPr="009D4254">
        <w:rPr>
          <w:lang w:val="fr-CA"/>
        </w:rPr>
        <w:t>(</w:t>
      </w:r>
      <w:r w:rsidR="000B08F2" w:rsidRPr="00986BEB">
        <w:rPr>
          <w:lang w:val="fr-CA"/>
        </w:rPr>
        <w:t>90</w:t>
      </w:r>
      <w:r w:rsidR="000811F2" w:rsidRPr="000811F2">
        <w:rPr>
          <w:vertAlign w:val="superscript"/>
          <w:lang w:val="fr-CA"/>
        </w:rPr>
        <w:t>e</w:t>
      </w:r>
      <w:r w:rsidR="000811F2">
        <w:rPr>
          <w:lang w:val="fr-CA"/>
        </w:rPr>
        <w:t> </w:t>
      </w:r>
      <w:r w:rsidR="000B08F2" w:rsidRPr="009D4254">
        <w:rPr>
          <w:lang w:val="fr-CA"/>
        </w:rPr>
        <w:t>/</w:t>
      </w:r>
      <w:bookmarkStart w:id="308" w:name="DocXTextRef249"/>
      <w:r w:rsidR="000B08F2" w:rsidRPr="00986BEB">
        <w:rPr>
          <w:lang w:val="fr-CA"/>
        </w:rPr>
        <w:t>120</w:t>
      </w:r>
      <w:bookmarkEnd w:id="308"/>
      <w:r w:rsidR="000811F2" w:rsidRPr="000811F2">
        <w:rPr>
          <w:vertAlign w:val="superscript"/>
          <w:lang w:val="fr-CA"/>
        </w:rPr>
        <w:t>e</w:t>
      </w:r>
      <w:r w:rsidR="000B08F2" w:rsidRPr="009D4254">
        <w:rPr>
          <w:lang w:val="fr-CA"/>
        </w:rPr>
        <w:t>)]</w:t>
      </w:r>
      <w:r w:rsidRPr="009D4254">
        <w:rPr>
          <w:lang w:val="fr-CA"/>
        </w:rPr>
        <w:t xml:space="preserve"> jour suivant la date à laquelle l’Avis d’offre est remis ou, si elle est ultérieure, à la date de la vente initiale de </w:t>
      </w:r>
      <w:r w:rsidR="008F27F3" w:rsidRPr="009D4254">
        <w:rPr>
          <w:lang w:val="fr-CA"/>
        </w:rPr>
        <w:t>Nouveaux titres</w:t>
      </w:r>
      <w:r w:rsidR="000B08F2" w:rsidRPr="009D4254">
        <w:rPr>
          <w:lang w:val="fr-CA"/>
        </w:rPr>
        <w:t xml:space="preserve"> </w:t>
      </w:r>
      <w:r w:rsidRPr="009D4254">
        <w:rPr>
          <w:lang w:val="fr-CA"/>
        </w:rPr>
        <w:t>conformément à l’</w:t>
      </w:r>
      <w:r w:rsidR="0006561D" w:rsidRPr="009D4254">
        <w:rPr>
          <w:u w:val="single"/>
          <w:lang w:val="fr-CA"/>
        </w:rPr>
        <w:t>alinéa </w:t>
      </w:r>
      <w:r w:rsidR="000B08F2" w:rsidRPr="00986BEB">
        <w:rPr>
          <w:u w:val="single"/>
          <w:lang w:val="fr-CA"/>
        </w:rPr>
        <w:fldChar w:fldCharType="begin"/>
      </w:r>
      <w:r w:rsidR="000B08F2" w:rsidRPr="00986BEB">
        <w:rPr>
          <w:u w:val="single"/>
          <w:lang w:val="fr-CA"/>
        </w:rPr>
        <w:instrText xml:space="preserve">  REF _Ref448380630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4.1c)</w:t>
      </w:r>
      <w:r w:rsidR="000B08F2" w:rsidRPr="00986BEB">
        <w:rPr>
          <w:u w:val="single"/>
          <w:lang w:val="fr-CA"/>
        </w:rPr>
        <w:fldChar w:fldCharType="end"/>
      </w:r>
      <w:r w:rsidR="000B08F2" w:rsidRPr="009D4254">
        <w:rPr>
          <w:lang w:val="fr-CA"/>
        </w:rPr>
        <w:t>.</w:t>
      </w:r>
      <w:bookmarkEnd w:id="303"/>
    </w:p>
    <w:p w14:paraId="42AF555D" w14:textId="6C06B17F" w:rsidR="00037C7E" w:rsidRPr="00986BEB" w:rsidRDefault="0059083D" w:rsidP="0059083D">
      <w:pPr>
        <w:pStyle w:val="StandardL3"/>
        <w:rPr>
          <w:lang w:val="fr-CA"/>
        </w:rPr>
      </w:pPr>
      <w:bookmarkStart w:id="309" w:name="_Ref448380630"/>
      <w:r w:rsidRPr="009D4254">
        <w:rPr>
          <w:lang w:val="fr-CA"/>
        </w:rPr>
        <w:t>Si tous les Nouveaux titres mentionnés dans l’Avis d’offre ne font pas l’objet d’un achat ou d’une acquisition conformément à l’</w:t>
      </w:r>
      <w:r w:rsidRPr="009D4254">
        <w:rPr>
          <w:u w:val="single"/>
          <w:lang w:val="fr-CA"/>
        </w:rPr>
        <w:t>alinéa </w:t>
      </w:r>
      <w:r w:rsidRPr="00986BEB">
        <w:rPr>
          <w:u w:val="single"/>
          <w:lang w:val="fr-CA"/>
        </w:rPr>
        <w:fldChar w:fldCharType="begin"/>
      </w:r>
      <w:r w:rsidRPr="00986BEB">
        <w:rPr>
          <w:u w:val="single"/>
          <w:lang w:val="fr-CA"/>
        </w:rPr>
        <w:instrText xml:space="preserve">  REF _Ref448380629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4.1b)</w:t>
      </w:r>
      <w:r w:rsidRPr="00986BEB">
        <w:rPr>
          <w:u w:val="single"/>
          <w:lang w:val="fr-CA"/>
        </w:rPr>
        <w:fldChar w:fldCharType="end"/>
      </w:r>
      <w:r w:rsidRPr="009D4254">
        <w:rPr>
          <w:lang w:val="fr-CA"/>
        </w:rPr>
        <w:t>, la Société peut, pendant la période [de quatre-vingt-dix (</w:t>
      </w:r>
      <w:r w:rsidRPr="00986BEB">
        <w:rPr>
          <w:lang w:val="fr-CA"/>
        </w:rPr>
        <w:t>90</w:t>
      </w:r>
      <w:r w:rsidRPr="009D4254">
        <w:rPr>
          <w:lang w:val="fr-CA"/>
        </w:rPr>
        <w:t>)] jours suivant l’expiration des périodes prévues à l’</w:t>
      </w:r>
      <w:r w:rsidRPr="009D4254">
        <w:rPr>
          <w:u w:val="single"/>
          <w:lang w:val="fr-CA"/>
        </w:rPr>
        <w:t>alinéa </w:t>
      </w:r>
      <w:r w:rsidRPr="00986BEB">
        <w:rPr>
          <w:u w:val="single"/>
          <w:lang w:val="fr-CA"/>
        </w:rPr>
        <w:fldChar w:fldCharType="begin"/>
      </w:r>
      <w:r w:rsidRPr="00986BEB">
        <w:rPr>
          <w:u w:val="single"/>
          <w:lang w:val="fr-CA"/>
        </w:rPr>
        <w:instrText xml:space="preserve">  REF _Ref448380629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4.1b)</w:t>
      </w:r>
      <w:r w:rsidRPr="00986BEB">
        <w:rPr>
          <w:u w:val="single"/>
          <w:lang w:val="fr-CA"/>
        </w:rPr>
        <w:fldChar w:fldCharType="end"/>
      </w:r>
      <w:r w:rsidRPr="009D4254">
        <w:rPr>
          <w:lang w:val="fr-CA"/>
        </w:rPr>
        <w:t>, offrir et vendre la partie non souscrite des Nouveaux titres à une ou à plusieurs Personnes, à un prix qui n’est pas inférieur</w:t>
      </w:r>
      <w:r w:rsidR="003C32B1">
        <w:rPr>
          <w:lang w:val="fr-CA"/>
        </w:rPr>
        <w:t xml:space="preserve"> à celui indiqué dans l’Avis d’offre</w:t>
      </w:r>
      <w:r w:rsidRPr="009D4254">
        <w:rPr>
          <w:lang w:val="fr-CA"/>
        </w:rPr>
        <w:t xml:space="preserve">, et selon des modalités qui ne sont pas plus avantageuses pour le destinataire de l’offre que </w:t>
      </w:r>
      <w:r w:rsidR="003C32B1">
        <w:rPr>
          <w:lang w:val="fr-CA"/>
        </w:rPr>
        <w:t xml:space="preserve">celles </w:t>
      </w:r>
      <w:r w:rsidRPr="009D4254">
        <w:rPr>
          <w:lang w:val="fr-CA"/>
        </w:rPr>
        <w:t>indiqué</w:t>
      </w:r>
      <w:r w:rsidR="003C32B1">
        <w:rPr>
          <w:lang w:val="fr-CA"/>
        </w:rPr>
        <w:t>e</w:t>
      </w:r>
      <w:r w:rsidRPr="009D4254">
        <w:rPr>
          <w:lang w:val="fr-CA"/>
        </w:rPr>
        <w:t>s dans l’Avis d’offre.</w:t>
      </w:r>
      <w:r w:rsidR="000B08F2" w:rsidRPr="0059083D">
        <w:rPr>
          <w:lang w:val="fr-CA"/>
        </w:rPr>
        <w:t xml:space="preserve"> </w:t>
      </w:r>
      <w:r w:rsidRPr="0059083D">
        <w:rPr>
          <w:lang w:val="fr-CA"/>
        </w:rPr>
        <w:t>Si la Société ne conclut pas d’entente pour la vente des Nouveaux titres dans ce délai, ou si une telle entente ne se réalise pas dans les [trente (</w:t>
      </w:r>
      <w:r w:rsidRPr="00986BEB">
        <w:rPr>
          <w:lang w:val="fr-CA"/>
        </w:rPr>
        <w:t>30</w:t>
      </w:r>
      <w:r w:rsidRPr="0059083D">
        <w:rPr>
          <w:lang w:val="fr-CA"/>
        </w:rPr>
        <w:t xml:space="preserve">)] jours suivant sa signature, le droit prévu aux présentes est réputé reprendre effet et ces Nouveaux titres ne </w:t>
      </w:r>
      <w:r>
        <w:rPr>
          <w:lang w:val="fr-CA"/>
        </w:rPr>
        <w:t xml:space="preserve">peuvent être </w:t>
      </w:r>
      <w:r w:rsidRPr="0059083D">
        <w:rPr>
          <w:lang w:val="fr-CA"/>
        </w:rPr>
        <w:t xml:space="preserve">offerts à moins d’être d’abord offerts à nouveau aux Investisseurs importants conformément au présent </w:t>
      </w:r>
      <w:r w:rsidR="002A0F83" w:rsidRPr="009D4254">
        <w:rPr>
          <w:u w:val="single"/>
          <w:lang w:val="fr-CA"/>
        </w:rPr>
        <w:t>paragraphe </w:t>
      </w:r>
      <w:r w:rsidR="000B08F2" w:rsidRPr="00986BEB">
        <w:rPr>
          <w:u w:val="single"/>
          <w:lang w:val="fr-CA"/>
        </w:rPr>
        <w:fldChar w:fldCharType="begin"/>
      </w:r>
      <w:r w:rsidR="000B08F2" w:rsidRPr="00986BEB">
        <w:rPr>
          <w:u w:val="single"/>
          <w:lang w:val="fr-CA"/>
        </w:rPr>
        <w:instrText xml:space="preserve">  REF _Ref448380627 \w \h \* MERGEFORMAT </w:instrText>
      </w:r>
      <w:r w:rsidR="000B08F2" w:rsidRPr="00986BEB">
        <w:rPr>
          <w:u w:val="single"/>
          <w:lang w:val="fr-CA"/>
        </w:rPr>
      </w:r>
      <w:r w:rsidR="000B08F2" w:rsidRPr="00986BEB">
        <w:rPr>
          <w:u w:val="single"/>
          <w:lang w:val="fr-CA"/>
        </w:rPr>
        <w:fldChar w:fldCharType="separate"/>
      </w:r>
      <w:r w:rsidR="00AE1D96" w:rsidRPr="00AE1D96">
        <w:rPr>
          <w:color w:val="000000"/>
          <w:u w:val="single"/>
          <w:lang w:val="fr-CA"/>
        </w:rPr>
        <w:t>4.1</w:t>
      </w:r>
      <w:r w:rsidR="000B08F2" w:rsidRPr="00986BEB">
        <w:rPr>
          <w:u w:val="single"/>
          <w:lang w:val="fr-CA"/>
        </w:rPr>
        <w:fldChar w:fldCharType="end"/>
      </w:r>
      <w:r w:rsidR="000B08F2" w:rsidRPr="009D4254">
        <w:rPr>
          <w:lang w:val="fr-CA"/>
        </w:rPr>
        <w:t>.</w:t>
      </w:r>
      <w:bookmarkEnd w:id="309"/>
    </w:p>
    <w:p w14:paraId="5B6AB8B6" w14:textId="216BE3B1" w:rsidR="00037C7E" w:rsidRPr="00986BEB" w:rsidRDefault="0059083D">
      <w:pPr>
        <w:pStyle w:val="StandardL3"/>
        <w:rPr>
          <w:lang w:val="fr-CA"/>
        </w:rPr>
      </w:pPr>
      <w:bookmarkStart w:id="310" w:name="_Ref448380631"/>
      <w:r w:rsidRPr="009D4254">
        <w:rPr>
          <w:lang w:val="fr-CA"/>
        </w:rPr>
        <w:t xml:space="preserve">Le droit de première offre prévu au présent </w:t>
      </w:r>
      <w:r w:rsidRPr="009D4254">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9D4254">
        <w:rPr>
          <w:lang w:val="fr-CA"/>
        </w:rPr>
        <w:t xml:space="preserve"> ne s’applique pas</w:t>
      </w:r>
      <w:bookmarkStart w:id="311" w:name="_Ref448380719"/>
      <w:r w:rsidRPr="00986BEB">
        <w:rPr>
          <w:rStyle w:val="FootnoteReference"/>
          <w:lang w:val="fr-CA"/>
        </w:rPr>
        <w:footnoteReference w:id="51"/>
      </w:r>
      <w:bookmarkEnd w:id="311"/>
      <w:r w:rsidRPr="009D4254">
        <w:rPr>
          <w:lang w:val="fr-CA"/>
        </w:rPr>
        <w:t xml:space="preserve"> (</w:t>
      </w:r>
      <w:r w:rsidRPr="00986BEB">
        <w:rPr>
          <w:lang w:val="fr-CA"/>
        </w:rPr>
        <w:t>i</w:t>
      </w:r>
      <w:r w:rsidRPr="009D4254">
        <w:rPr>
          <w:lang w:val="fr-CA"/>
        </w:rPr>
        <w:t xml:space="preserve">) aux Titres visés par une dispense (au sens </w:t>
      </w:r>
      <w:r w:rsidR="0062784B">
        <w:rPr>
          <w:lang w:val="fr-CA"/>
        </w:rPr>
        <w:t xml:space="preserve">donné à </w:t>
      </w:r>
      <w:r w:rsidR="0062784B">
        <w:rPr>
          <w:i/>
          <w:iCs/>
          <w:lang w:val="fr-CA"/>
        </w:rPr>
        <w:t xml:space="preserve">Exempted </w:t>
      </w:r>
      <w:r w:rsidR="0062784B" w:rsidRPr="0062784B">
        <w:rPr>
          <w:i/>
          <w:iCs/>
          <w:lang w:val="fr-CA"/>
        </w:rPr>
        <w:t>Securities</w:t>
      </w:r>
      <w:r w:rsidR="0062784B">
        <w:rPr>
          <w:lang w:val="fr-CA"/>
        </w:rPr>
        <w:t xml:space="preserve"> dans les</w:t>
      </w:r>
      <w:r w:rsidRPr="009D4254">
        <w:rPr>
          <w:lang w:val="fr-CA"/>
        </w:rPr>
        <w:t xml:space="preserve"> Statuts de la Société); [et] (</w:t>
      </w:r>
      <w:r w:rsidRPr="00986BEB">
        <w:rPr>
          <w:lang w:val="fr-CA"/>
        </w:rPr>
        <w:t>ii</w:t>
      </w:r>
      <w:r w:rsidRPr="009D4254">
        <w:rPr>
          <w:lang w:val="fr-CA"/>
        </w:rPr>
        <w:t>) aux Actions ordinaires émises dans le cadre d’un PAPE[; et (</w:t>
      </w:r>
      <w:r w:rsidRPr="00986BEB">
        <w:rPr>
          <w:lang w:val="fr-CA"/>
        </w:rPr>
        <w:t>iii</w:t>
      </w:r>
      <w:r w:rsidRPr="009D4254">
        <w:rPr>
          <w:lang w:val="fr-CA"/>
        </w:rPr>
        <w:t>)</w:t>
      </w:r>
      <w:r w:rsidR="00645C4F">
        <w:rPr>
          <w:lang w:val="fr-CA"/>
        </w:rPr>
        <w:t> </w:t>
      </w:r>
      <w:r w:rsidRPr="009D4254">
        <w:rPr>
          <w:lang w:val="fr-CA"/>
        </w:rPr>
        <w:t xml:space="preserve">à l’émission d’Actions privilégiées [de catégorie A] à des </w:t>
      </w:r>
      <w:r w:rsidR="00645C4F">
        <w:rPr>
          <w:lang w:val="fr-CA"/>
        </w:rPr>
        <w:t>Acheteurs supplémentaires</w:t>
      </w:r>
      <w:r w:rsidRPr="009D4254">
        <w:rPr>
          <w:lang w:val="fr-CA"/>
        </w:rPr>
        <w:t xml:space="preserve"> conformément au </w:t>
      </w:r>
      <w:r w:rsidRPr="009D4254">
        <w:rPr>
          <w:szCs w:val="16"/>
          <w:u w:val="single"/>
          <w:lang w:val="fr-CA"/>
        </w:rPr>
        <w:t>paragraphe [</w:t>
      </w:r>
      <w:r w:rsidRPr="00986BEB">
        <w:rPr>
          <w:szCs w:val="16"/>
          <w:u w:val="single"/>
          <w:lang w:val="fr-CA"/>
        </w:rPr>
        <w:t>1.3</w:t>
      </w:r>
      <w:r w:rsidRPr="009D4254">
        <w:rPr>
          <w:szCs w:val="16"/>
          <w:lang w:val="fr-CA"/>
        </w:rPr>
        <w:t>] de la Convention d’achat.]</w:t>
      </w:r>
      <w:r w:rsidR="000B08F2" w:rsidRPr="009D4254">
        <w:rPr>
          <w:lang w:val="fr-CA"/>
        </w:rPr>
        <w:t xml:space="preserve"> </w:t>
      </w:r>
      <w:bookmarkEnd w:id="310"/>
    </w:p>
    <w:p w14:paraId="283D00F3" w14:textId="76F68F2D" w:rsidR="00037C7E" w:rsidRPr="00986BEB" w:rsidRDefault="000B08F2">
      <w:pPr>
        <w:pStyle w:val="StandardL3"/>
        <w:rPr>
          <w:lang w:val="fr-CA"/>
        </w:rPr>
      </w:pPr>
      <w:bookmarkStart w:id="312" w:name="_Ref448380632"/>
      <w:r w:rsidRPr="0059083D">
        <w:rPr>
          <w:lang w:val="fr-CA"/>
        </w:rPr>
        <w:t>[</w:t>
      </w:r>
      <w:r w:rsidR="0059083D">
        <w:rPr>
          <w:lang w:val="fr-CA"/>
        </w:rPr>
        <w:t xml:space="preserve">Le droit de première offre prévu au présent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lang w:val="fr-CA"/>
        </w:rPr>
        <w:t xml:space="preserve"> </w:t>
      </w:r>
      <w:r w:rsidR="0059083D">
        <w:rPr>
          <w:lang w:val="fr-CA"/>
        </w:rPr>
        <w:t xml:space="preserve">s’éteint à l’égard de tout </w:t>
      </w:r>
      <w:r w:rsidR="006C7CDF" w:rsidRPr="0059083D">
        <w:rPr>
          <w:lang w:val="fr-CA"/>
        </w:rPr>
        <w:t>Investisseur important</w:t>
      </w:r>
      <w:r w:rsidRPr="0059083D">
        <w:rPr>
          <w:lang w:val="fr-CA"/>
        </w:rPr>
        <w:t xml:space="preserve"> </w:t>
      </w:r>
      <w:r w:rsidR="0059083D">
        <w:rPr>
          <w:lang w:val="fr-CA"/>
        </w:rPr>
        <w:t xml:space="preserve">qui omet d’acheter, dans le cadre d’une opération visée par le présent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lang w:val="fr-CA"/>
        </w:rPr>
        <w:t xml:space="preserve">, </w:t>
      </w:r>
      <w:r w:rsidR="0059083D">
        <w:rPr>
          <w:lang w:val="fr-CA"/>
        </w:rPr>
        <w:t xml:space="preserve">la totalité du nombre proportionnel des </w:t>
      </w:r>
      <w:r w:rsidR="008F27F3" w:rsidRPr="0059083D">
        <w:rPr>
          <w:lang w:val="fr-CA"/>
        </w:rPr>
        <w:t>Nouveaux titres</w:t>
      </w:r>
      <w:r w:rsidRPr="0059083D">
        <w:rPr>
          <w:lang w:val="fr-CA"/>
        </w:rPr>
        <w:t xml:space="preserve"> </w:t>
      </w:r>
      <w:r w:rsidR="0059083D">
        <w:rPr>
          <w:lang w:val="fr-CA"/>
        </w:rPr>
        <w:t xml:space="preserve">qui lui sont attribués </w:t>
      </w:r>
      <w:r w:rsidRPr="0059083D">
        <w:rPr>
          <w:lang w:val="fr-CA"/>
        </w:rPr>
        <w:t>(</w:t>
      </w:r>
      <w:r w:rsidR="0059083D">
        <w:rPr>
          <w:lang w:val="fr-CA"/>
        </w:rPr>
        <w:t>ou</w:t>
      </w:r>
      <w:r w:rsidRPr="0059083D">
        <w:rPr>
          <w:lang w:val="fr-CA"/>
        </w:rPr>
        <w:t xml:space="preserve">, </w:t>
      </w:r>
      <w:r w:rsidR="0059083D">
        <w:rPr>
          <w:lang w:val="fr-CA"/>
        </w:rPr>
        <w:t>si la Société offre moins que ce nombre proportionnel de titres</w:t>
      </w:r>
      <w:r w:rsidRPr="0059083D">
        <w:rPr>
          <w:lang w:val="fr-CA"/>
        </w:rPr>
        <w:t xml:space="preserve">, </w:t>
      </w:r>
      <w:r w:rsidR="0059083D">
        <w:rPr>
          <w:lang w:val="fr-CA"/>
        </w:rPr>
        <w:t>le nombre inférieur ainsi offert</w:t>
      </w:r>
      <w:r w:rsidRPr="0059083D">
        <w:rPr>
          <w:lang w:val="fr-CA"/>
        </w:rPr>
        <w:t xml:space="preserve">) </w:t>
      </w:r>
      <w:r w:rsidR="0059083D">
        <w:rPr>
          <w:lang w:val="fr-CA"/>
        </w:rPr>
        <w:t xml:space="preserve">conformément au présent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lang w:val="fr-CA"/>
        </w:rPr>
        <w:t xml:space="preserve">. </w:t>
      </w:r>
      <w:r w:rsidR="0059083D">
        <w:rPr>
          <w:lang w:val="fr-CA"/>
        </w:rPr>
        <w:t>Après l’extinction de ce droit, l’</w:t>
      </w:r>
      <w:r w:rsidR="000F37C7" w:rsidRPr="0059083D">
        <w:rPr>
          <w:lang w:val="fr-CA"/>
        </w:rPr>
        <w:t>Investisseur</w:t>
      </w:r>
      <w:r w:rsidRPr="0059083D">
        <w:rPr>
          <w:lang w:val="fr-CA"/>
        </w:rPr>
        <w:t xml:space="preserve"> </w:t>
      </w:r>
      <w:r w:rsidR="0059083D">
        <w:rPr>
          <w:lang w:val="fr-CA"/>
        </w:rPr>
        <w:t xml:space="preserve">n’est plus considéré comme un </w:t>
      </w:r>
      <w:r w:rsidRPr="0059083D">
        <w:rPr>
          <w:lang w:val="fr-CA"/>
        </w:rPr>
        <w:t>« </w:t>
      </w:r>
      <w:r w:rsidR="006C7CDF" w:rsidRPr="0059083D">
        <w:rPr>
          <w:lang w:val="fr-CA"/>
        </w:rPr>
        <w:t>Investisseur important</w:t>
      </w:r>
      <w:r w:rsidRPr="0059083D">
        <w:rPr>
          <w:lang w:val="fr-CA"/>
        </w:rPr>
        <w:t xml:space="preserve"> » </w:t>
      </w:r>
      <w:r w:rsidR="0059083D">
        <w:rPr>
          <w:lang w:val="fr-CA"/>
        </w:rPr>
        <w:t>pour l’application du présent</w:t>
      </w:r>
      <w:r w:rsidRPr="0059083D">
        <w:rPr>
          <w:lang w:val="fr-CA"/>
        </w:rPr>
        <w:t xml:space="preserve">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u w:val="single"/>
          <w:lang w:val="fr-CA"/>
        </w:rPr>
        <w:t>.</w:t>
      </w:r>
      <w:r w:rsidRPr="0059083D">
        <w:rPr>
          <w:lang w:val="fr-CA"/>
        </w:rPr>
        <w:t>]</w:t>
      </w:r>
      <w:bookmarkEnd w:id="312"/>
    </w:p>
    <w:p w14:paraId="475A3428" w14:textId="67B3E544" w:rsidR="00037C7E" w:rsidRPr="00986BEB" w:rsidRDefault="000B08F2">
      <w:pPr>
        <w:pStyle w:val="StandardL3"/>
        <w:rPr>
          <w:lang w:val="fr-CA"/>
        </w:rPr>
      </w:pPr>
      <w:bookmarkStart w:id="313" w:name="_Ref448380633"/>
      <w:r w:rsidRPr="0059083D">
        <w:rPr>
          <w:lang w:val="fr-CA"/>
        </w:rPr>
        <w:t>[</w:t>
      </w:r>
      <w:r w:rsidR="0059083D" w:rsidRPr="0059083D">
        <w:rPr>
          <w:lang w:val="fr-CA"/>
        </w:rPr>
        <w:t>Malgré toute disposition contraire des présentes, au lieu de respecter les dispositions du présent</w:t>
      </w:r>
      <w:r w:rsidRPr="0059083D">
        <w:rPr>
          <w:lang w:val="fr-CA"/>
        </w:rPr>
        <w:t xml:space="preserve"> </w:t>
      </w:r>
      <w:r w:rsidR="002A0F83" w:rsidRPr="0059083D">
        <w:rPr>
          <w:u w:val="single"/>
          <w:lang w:val="fr-CA"/>
        </w:rPr>
        <w:t>paragraphe </w:t>
      </w:r>
      <w:r w:rsidRPr="00986BEB">
        <w:rPr>
          <w:u w:val="single"/>
          <w:lang w:val="fr-CA"/>
        </w:rPr>
        <w:fldChar w:fldCharType="begin"/>
      </w:r>
      <w:r w:rsidRPr="00986BEB">
        <w:rPr>
          <w:u w:val="single"/>
          <w:lang w:val="fr-CA"/>
        </w:rPr>
        <w:instrText xml:space="preserve">  REF _Ref448380627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w:t>
      </w:r>
      <w:r w:rsidRPr="00986BEB">
        <w:rPr>
          <w:u w:val="single"/>
          <w:lang w:val="fr-CA"/>
        </w:rPr>
        <w:fldChar w:fldCharType="end"/>
      </w:r>
      <w:r w:rsidRPr="0059083D">
        <w:rPr>
          <w:lang w:val="fr-CA"/>
        </w:rPr>
        <w:t xml:space="preserve">, la Société </w:t>
      </w:r>
      <w:r w:rsidR="0059083D" w:rsidRPr="0059083D">
        <w:rPr>
          <w:lang w:val="fr-CA"/>
        </w:rPr>
        <w:t xml:space="preserve">peut choisir de remettre aux </w:t>
      </w:r>
      <w:r w:rsidR="006C7CDF" w:rsidRPr="0059083D">
        <w:rPr>
          <w:lang w:val="fr-CA"/>
        </w:rPr>
        <w:t>Investisseurs</w:t>
      </w:r>
      <w:r w:rsidR="008D3A8F">
        <w:rPr>
          <w:lang w:val="fr-CA"/>
        </w:rPr>
        <w:t xml:space="preserve"> importants</w:t>
      </w:r>
      <w:r w:rsidR="0059083D" w:rsidRPr="0059083D">
        <w:rPr>
          <w:lang w:val="fr-CA"/>
        </w:rPr>
        <w:t>,</w:t>
      </w:r>
      <w:r w:rsidR="006C7CDF" w:rsidRPr="0059083D">
        <w:rPr>
          <w:lang w:val="fr-CA"/>
        </w:rPr>
        <w:t xml:space="preserve"> </w:t>
      </w:r>
      <w:r w:rsidR="0059083D" w:rsidRPr="0059083D">
        <w:rPr>
          <w:lang w:val="fr-CA"/>
        </w:rPr>
        <w:t>dans les trente</w:t>
      </w:r>
      <w:r w:rsidRPr="0059083D">
        <w:rPr>
          <w:lang w:val="fr-CA"/>
        </w:rPr>
        <w:t xml:space="preserve"> (</w:t>
      </w:r>
      <w:r w:rsidRPr="00986BEB">
        <w:rPr>
          <w:lang w:val="fr-CA"/>
        </w:rPr>
        <w:t>30</w:t>
      </w:r>
      <w:r w:rsidRPr="0059083D">
        <w:rPr>
          <w:lang w:val="fr-CA"/>
        </w:rPr>
        <w:t>)</w:t>
      </w:r>
      <w:r w:rsidR="0059083D" w:rsidRPr="0059083D">
        <w:rPr>
          <w:lang w:val="fr-CA"/>
        </w:rPr>
        <w:t> jours</w:t>
      </w:r>
      <w:r w:rsidRPr="0059083D">
        <w:rPr>
          <w:lang w:val="fr-CA"/>
        </w:rPr>
        <w:t xml:space="preserve"> </w:t>
      </w:r>
      <w:r w:rsidR="0059083D" w:rsidRPr="0059083D">
        <w:rPr>
          <w:lang w:val="fr-CA"/>
        </w:rPr>
        <w:t xml:space="preserve">suivant l’émission de </w:t>
      </w:r>
      <w:r w:rsidR="008F27F3" w:rsidRPr="0059083D">
        <w:rPr>
          <w:lang w:val="fr-CA"/>
        </w:rPr>
        <w:t>Nouveaux titres</w:t>
      </w:r>
      <w:r w:rsidR="0059083D" w:rsidRPr="0059083D">
        <w:rPr>
          <w:lang w:val="fr-CA"/>
        </w:rPr>
        <w:t xml:space="preserve">, un avis décrivant le type, le prix et les modalités des </w:t>
      </w:r>
      <w:r w:rsidR="008F27F3" w:rsidRPr="0059083D">
        <w:rPr>
          <w:lang w:val="fr-CA"/>
        </w:rPr>
        <w:t>Nouveaux titres</w:t>
      </w:r>
      <w:r w:rsidRPr="0059083D">
        <w:rPr>
          <w:lang w:val="fr-CA"/>
        </w:rPr>
        <w:t xml:space="preserve">. </w:t>
      </w:r>
      <w:r w:rsidR="0059083D" w:rsidRPr="0059083D">
        <w:rPr>
          <w:lang w:val="fr-CA"/>
        </w:rPr>
        <w:t xml:space="preserve">Chaque </w:t>
      </w:r>
      <w:r w:rsidR="006C7CDF" w:rsidRPr="0059083D">
        <w:rPr>
          <w:lang w:val="fr-CA"/>
        </w:rPr>
        <w:t>Investisseur important</w:t>
      </w:r>
      <w:r w:rsidRPr="0059083D">
        <w:rPr>
          <w:lang w:val="fr-CA"/>
        </w:rPr>
        <w:t xml:space="preserve"> </w:t>
      </w:r>
      <w:r w:rsidR="0059083D" w:rsidRPr="0059083D">
        <w:rPr>
          <w:lang w:val="fr-CA"/>
        </w:rPr>
        <w:t>dispose de vingt</w:t>
      </w:r>
      <w:r w:rsidRPr="0059083D">
        <w:rPr>
          <w:lang w:val="fr-CA"/>
        </w:rPr>
        <w:t xml:space="preserve"> (</w:t>
      </w:r>
      <w:r w:rsidRPr="00986BEB">
        <w:rPr>
          <w:lang w:val="fr-CA"/>
        </w:rPr>
        <w:t>20</w:t>
      </w:r>
      <w:r w:rsidRPr="0059083D">
        <w:rPr>
          <w:lang w:val="fr-CA"/>
        </w:rPr>
        <w:t>)</w:t>
      </w:r>
      <w:r w:rsidR="0059083D" w:rsidRPr="0059083D">
        <w:rPr>
          <w:lang w:val="fr-CA"/>
        </w:rPr>
        <w:t> jours</w:t>
      </w:r>
      <w:r w:rsidRPr="0059083D">
        <w:rPr>
          <w:lang w:val="fr-CA"/>
        </w:rPr>
        <w:t xml:space="preserve"> </w:t>
      </w:r>
      <w:r w:rsidR="0059083D" w:rsidRPr="0059083D">
        <w:rPr>
          <w:lang w:val="fr-CA"/>
        </w:rPr>
        <w:t xml:space="preserve">après la date de remise de l’avis pour choisir d’acheter le nombre maximal de </w:t>
      </w:r>
      <w:r w:rsidR="008F27F3" w:rsidRPr="0059083D">
        <w:rPr>
          <w:lang w:val="fr-CA"/>
        </w:rPr>
        <w:t>Nouveaux titres</w:t>
      </w:r>
      <w:r w:rsidRPr="0059083D">
        <w:rPr>
          <w:lang w:val="fr-CA"/>
        </w:rPr>
        <w:t xml:space="preserve"> </w:t>
      </w:r>
      <w:r w:rsidR="0059083D" w:rsidRPr="0059083D">
        <w:rPr>
          <w:lang w:val="fr-CA"/>
        </w:rPr>
        <w:t>qui, s’il</w:t>
      </w:r>
      <w:r w:rsidR="008D3A8F">
        <w:rPr>
          <w:lang w:val="fr-CA"/>
        </w:rPr>
        <w:t>s sont achetés par cet Investisseur important</w:t>
      </w:r>
      <w:r w:rsidRPr="0059083D">
        <w:rPr>
          <w:lang w:val="fr-CA"/>
        </w:rPr>
        <w:t xml:space="preserve">, </w:t>
      </w:r>
      <w:r w:rsidR="0059083D" w:rsidRPr="0059083D">
        <w:rPr>
          <w:lang w:val="fr-CA"/>
        </w:rPr>
        <w:t>lui permet</w:t>
      </w:r>
      <w:r w:rsidR="008D3A8F">
        <w:rPr>
          <w:lang w:val="fr-CA"/>
        </w:rPr>
        <w:t>traient</w:t>
      </w:r>
      <w:r w:rsidR="0059083D" w:rsidRPr="0059083D">
        <w:rPr>
          <w:lang w:val="fr-CA"/>
        </w:rPr>
        <w:t xml:space="preserve"> de conserver le même pourcentage de participation, calculé comme il est prévu à l’</w:t>
      </w:r>
      <w:r w:rsidR="0006561D" w:rsidRPr="0059083D">
        <w:rPr>
          <w:u w:val="single"/>
          <w:lang w:val="fr-CA"/>
        </w:rPr>
        <w:t>alinéa </w:t>
      </w:r>
      <w:r w:rsidRPr="00986BEB">
        <w:rPr>
          <w:u w:val="single"/>
          <w:lang w:val="fr-CA"/>
        </w:rPr>
        <w:fldChar w:fldCharType="begin"/>
      </w:r>
      <w:r w:rsidRPr="00986BEB">
        <w:rPr>
          <w:u w:val="single"/>
          <w:lang w:val="fr-CA"/>
        </w:rPr>
        <w:instrText xml:space="preserve">  REF _Ref448380629 \w \h \* MERGEFORMAT </w:instrText>
      </w:r>
      <w:r w:rsidRPr="00986BEB">
        <w:rPr>
          <w:u w:val="single"/>
          <w:lang w:val="fr-CA"/>
        </w:rPr>
      </w:r>
      <w:r w:rsidRPr="00986BEB">
        <w:rPr>
          <w:u w:val="single"/>
          <w:lang w:val="fr-CA"/>
        </w:rPr>
        <w:fldChar w:fldCharType="separate"/>
      </w:r>
      <w:r w:rsidR="00AE1D96" w:rsidRPr="00AE1D96">
        <w:rPr>
          <w:color w:val="000000"/>
          <w:u w:val="single"/>
          <w:lang w:val="fr-CA"/>
        </w:rPr>
        <w:t>4.1b)</w:t>
      </w:r>
      <w:r w:rsidRPr="00986BEB">
        <w:rPr>
          <w:u w:val="single"/>
          <w:lang w:val="fr-CA"/>
        </w:rPr>
        <w:fldChar w:fldCharType="end"/>
      </w:r>
      <w:r w:rsidRPr="0059083D">
        <w:rPr>
          <w:lang w:val="fr-CA"/>
        </w:rPr>
        <w:t xml:space="preserve"> </w:t>
      </w:r>
      <w:r w:rsidR="0059083D" w:rsidRPr="0059083D">
        <w:rPr>
          <w:lang w:val="fr-CA"/>
        </w:rPr>
        <w:t xml:space="preserve">compte non tenu de l’émission de ces </w:t>
      </w:r>
      <w:r w:rsidR="008F27F3" w:rsidRPr="0059083D">
        <w:rPr>
          <w:lang w:val="fr-CA"/>
        </w:rPr>
        <w:t>Nouveaux titres</w:t>
      </w:r>
      <w:bookmarkStart w:id="314" w:name="_Ref448380720"/>
      <w:r w:rsidRPr="00986BEB">
        <w:rPr>
          <w:rStyle w:val="FootnoteReference"/>
          <w:lang w:val="fr-CA"/>
        </w:rPr>
        <w:footnoteReference w:id="52"/>
      </w:r>
      <w:bookmarkEnd w:id="314"/>
      <w:r w:rsidR="0059083D" w:rsidRPr="0059083D">
        <w:rPr>
          <w:lang w:val="fr-CA"/>
        </w:rPr>
        <w:t>.</w:t>
      </w:r>
      <w:r w:rsidRPr="0059083D">
        <w:rPr>
          <w:lang w:val="fr-CA"/>
        </w:rPr>
        <w:t xml:space="preserve"> </w:t>
      </w:r>
      <w:r w:rsidR="0059083D" w:rsidRPr="0059083D">
        <w:rPr>
          <w:lang w:val="fr-CA"/>
        </w:rPr>
        <w:t xml:space="preserve">La clôture de cette </w:t>
      </w:r>
      <w:r w:rsidR="0059083D">
        <w:rPr>
          <w:lang w:val="fr-CA"/>
        </w:rPr>
        <w:t xml:space="preserve">vente doit avoir </w:t>
      </w:r>
      <w:r w:rsidR="0059083D" w:rsidRPr="009D4254">
        <w:rPr>
          <w:lang w:val="fr-CA"/>
        </w:rPr>
        <w:t>lieu au plus tard soixante</w:t>
      </w:r>
      <w:r w:rsidRPr="009D4254">
        <w:rPr>
          <w:lang w:val="fr-CA"/>
        </w:rPr>
        <w:t xml:space="preserve"> (</w:t>
      </w:r>
      <w:r w:rsidRPr="00986BEB">
        <w:rPr>
          <w:lang w:val="fr-CA"/>
        </w:rPr>
        <w:t>60</w:t>
      </w:r>
      <w:r w:rsidRPr="009D4254">
        <w:rPr>
          <w:lang w:val="fr-CA"/>
        </w:rPr>
        <w:t>)</w:t>
      </w:r>
      <w:r w:rsidR="0059083D" w:rsidRPr="009D4254">
        <w:rPr>
          <w:lang w:val="fr-CA"/>
        </w:rPr>
        <w:t xml:space="preserve"> jours après la date à laquelle l’avis est remis aux </w:t>
      </w:r>
      <w:r w:rsidR="006C7CDF" w:rsidRPr="009D4254">
        <w:rPr>
          <w:lang w:val="fr-CA"/>
        </w:rPr>
        <w:t>Investisseurs importants</w:t>
      </w:r>
      <w:r w:rsidRPr="009D4254">
        <w:rPr>
          <w:lang w:val="fr-CA"/>
        </w:rPr>
        <w:t>.]</w:t>
      </w:r>
      <w:bookmarkEnd w:id="313"/>
    </w:p>
    <w:p w14:paraId="6A8FC01D" w14:textId="6ACB28D1" w:rsidR="00037C7E" w:rsidRPr="00986BEB" w:rsidRDefault="0059083D">
      <w:pPr>
        <w:pStyle w:val="StandardL2"/>
        <w:rPr>
          <w:lang w:val="fr-CA"/>
        </w:rPr>
      </w:pPr>
      <w:bookmarkStart w:id="315" w:name="_Ref448380635"/>
      <w:bookmarkStart w:id="316" w:name="_Toc132874742"/>
      <w:r w:rsidRPr="009D4254">
        <w:rPr>
          <w:lang w:val="fr-CA"/>
        </w:rPr>
        <w:t>Extinction</w:t>
      </w:r>
      <w:r w:rsidR="000B08F2" w:rsidRPr="009D4254">
        <w:rPr>
          <w:snapToGrid w:val="0"/>
          <w:lang w:val="fr-CA"/>
        </w:rPr>
        <w:t>.</w:t>
      </w:r>
      <w:bookmarkEnd w:id="315"/>
      <w:bookmarkEnd w:id="316"/>
    </w:p>
    <w:p w14:paraId="27CA13B8" w14:textId="524C3C42" w:rsidR="00037C7E" w:rsidRDefault="0059083D">
      <w:pPr>
        <w:pStyle w:val="StandardCont2"/>
        <w:rPr>
          <w:snapToGrid w:val="0"/>
          <w:lang w:val="fr-CA"/>
        </w:rPr>
      </w:pPr>
      <w:r>
        <w:rPr>
          <w:snapToGrid w:val="0"/>
          <w:lang w:val="fr-CA"/>
        </w:rPr>
        <w:t xml:space="preserve">Les </w:t>
      </w:r>
      <w:r w:rsidR="00E71AA2">
        <w:rPr>
          <w:snapToGrid w:val="0"/>
          <w:lang w:val="fr-CA"/>
        </w:rPr>
        <w:t xml:space="preserve">engagements </w:t>
      </w:r>
      <w:r>
        <w:rPr>
          <w:snapToGrid w:val="0"/>
          <w:lang w:val="fr-CA"/>
        </w:rPr>
        <w:t xml:space="preserve">prévus au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_Ref448380627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4.1</w:t>
      </w:r>
      <w:r w:rsidR="000B08F2" w:rsidRPr="00986BEB">
        <w:rPr>
          <w:snapToGrid w:val="0"/>
          <w:u w:val="single"/>
          <w:lang w:val="fr-CA"/>
        </w:rPr>
        <w:fldChar w:fldCharType="end"/>
      </w:r>
      <w:r w:rsidR="000B08F2" w:rsidRPr="0059083D">
        <w:rPr>
          <w:snapToGrid w:val="0"/>
          <w:lang w:val="fr-CA"/>
        </w:rPr>
        <w:t xml:space="preserve"> </w:t>
      </w:r>
      <w:r w:rsidRPr="0059083D">
        <w:rPr>
          <w:snapToGrid w:val="0"/>
          <w:lang w:val="fr-CA"/>
        </w:rPr>
        <w:t>s’éteignent et deviennent nuls et sans effet (</w:t>
      </w:r>
      <w:r w:rsidRPr="00986BEB">
        <w:rPr>
          <w:snapToGrid w:val="0"/>
          <w:lang w:val="fr-CA"/>
        </w:rPr>
        <w:t>i</w:t>
      </w:r>
      <w:r w:rsidRPr="0059083D">
        <w:rPr>
          <w:snapToGrid w:val="0"/>
          <w:lang w:val="fr-CA"/>
        </w:rPr>
        <w:t xml:space="preserve">) immédiatement avant la réalisation du PAPE </w:t>
      </w:r>
      <w:bookmarkStart w:id="317" w:name="DocXTextRef274"/>
      <w:r>
        <w:rPr>
          <w:snapToGrid w:val="0"/>
          <w:szCs w:val="16"/>
          <w:lang w:val="fr-CA"/>
        </w:rPr>
        <w:t xml:space="preserve">ou </w:t>
      </w:r>
      <w:r w:rsidR="000B08F2" w:rsidRPr="0059083D">
        <w:rPr>
          <w:snapToGrid w:val="0"/>
          <w:szCs w:val="16"/>
          <w:lang w:val="fr-CA"/>
        </w:rPr>
        <w:t>(</w:t>
      </w:r>
      <w:r w:rsidR="000B08F2" w:rsidRPr="00986BEB">
        <w:rPr>
          <w:snapToGrid w:val="0"/>
          <w:szCs w:val="16"/>
          <w:lang w:val="fr-CA"/>
        </w:rPr>
        <w:t>ii</w:t>
      </w:r>
      <w:r w:rsidR="000B08F2" w:rsidRPr="0059083D">
        <w:rPr>
          <w:snapToGrid w:val="0"/>
          <w:szCs w:val="16"/>
          <w:lang w:val="fr-CA"/>
        </w:rPr>
        <w:t>)</w:t>
      </w:r>
      <w:bookmarkEnd w:id="317"/>
      <w:r>
        <w:rPr>
          <w:snapToGrid w:val="0"/>
          <w:szCs w:val="16"/>
          <w:lang w:val="fr-CA"/>
        </w:rPr>
        <w:t> </w:t>
      </w:r>
      <w:r w:rsidRPr="0059083D">
        <w:rPr>
          <w:snapToGrid w:val="0"/>
          <w:lang w:val="fr-CA"/>
        </w:rPr>
        <w:t>à la clôture d’un</w:t>
      </w:r>
      <w:r w:rsidR="00645C4F">
        <w:rPr>
          <w:snapToGrid w:val="0"/>
          <w:lang w:val="fr-CA"/>
        </w:rPr>
        <w:t xml:space="preserve"> Cas de l</w:t>
      </w:r>
      <w:r w:rsidRPr="0059083D">
        <w:rPr>
          <w:snapToGrid w:val="0"/>
          <w:lang w:val="fr-CA"/>
        </w:rPr>
        <w:t>iquidation réputé[, au sens</w:t>
      </w:r>
      <w:r w:rsidR="001A68D0">
        <w:rPr>
          <w:snapToGrid w:val="0"/>
          <w:lang w:val="fr-CA"/>
        </w:rPr>
        <w:t xml:space="preserve"> donné à </w:t>
      </w:r>
      <w:r w:rsidR="001A68D0">
        <w:rPr>
          <w:i/>
          <w:iCs/>
          <w:snapToGrid w:val="0"/>
          <w:lang w:val="fr-CA"/>
        </w:rPr>
        <w:t>Deemed Liquidation Event</w:t>
      </w:r>
      <w:r w:rsidR="001A68D0">
        <w:rPr>
          <w:snapToGrid w:val="0"/>
          <w:lang w:val="fr-CA"/>
        </w:rPr>
        <w:t xml:space="preserve"> dans les</w:t>
      </w:r>
      <w:r w:rsidRPr="0059083D">
        <w:rPr>
          <w:snapToGrid w:val="0"/>
          <w:lang w:val="fr-CA"/>
        </w:rPr>
        <w:t xml:space="preserve"> Statuts de la Société,]</w:t>
      </w:r>
      <w:r>
        <w:rPr>
          <w:snapToGrid w:val="0"/>
          <w:lang w:val="fr-CA"/>
        </w:rPr>
        <w:t xml:space="preserve"> </w:t>
      </w:r>
      <w:r w:rsidR="00260686" w:rsidRPr="0059083D">
        <w:rPr>
          <w:szCs w:val="24"/>
          <w:lang w:val="fr-CA"/>
        </w:rPr>
        <w:t>[</w:t>
      </w:r>
      <w:r>
        <w:rPr>
          <w:szCs w:val="24"/>
          <w:lang w:val="fr-CA"/>
        </w:rPr>
        <w:t>dans le cadre d</w:t>
      </w:r>
      <w:r w:rsidR="00E71AA2">
        <w:rPr>
          <w:szCs w:val="24"/>
          <w:lang w:val="fr-CA"/>
        </w:rPr>
        <w:t xml:space="preserve">uquel </w:t>
      </w:r>
      <w:r w:rsidR="000B08F2" w:rsidRPr="0059083D">
        <w:rPr>
          <w:szCs w:val="24"/>
          <w:lang w:val="fr-CA"/>
        </w:rPr>
        <w:t>les Investisseurs</w:t>
      </w:r>
      <w:r w:rsidR="00260686" w:rsidRPr="0059083D">
        <w:rPr>
          <w:szCs w:val="24"/>
          <w:lang w:val="fr-CA"/>
        </w:rPr>
        <w:t xml:space="preserve"> </w:t>
      </w:r>
      <w:r w:rsidRPr="0059083D">
        <w:rPr>
          <w:szCs w:val="24"/>
          <w:lang w:val="fr-CA"/>
        </w:rPr>
        <w:t>ont reçu une contrepartie en espèces et/ou en titres cotés en bourse</w:t>
      </w:r>
      <w:r w:rsidR="00260686" w:rsidRPr="0059083D">
        <w:rPr>
          <w:szCs w:val="24"/>
          <w:lang w:val="fr-CA"/>
        </w:rPr>
        <w:t xml:space="preserve">, </w:t>
      </w:r>
      <w:r w:rsidRPr="0059083D">
        <w:rPr>
          <w:szCs w:val="24"/>
          <w:lang w:val="fr-CA"/>
        </w:rPr>
        <w:t xml:space="preserve">ou si les Investisseurs </w:t>
      </w:r>
      <w:r>
        <w:rPr>
          <w:szCs w:val="24"/>
          <w:lang w:val="fr-CA"/>
        </w:rPr>
        <w:t xml:space="preserve">obtiennent </w:t>
      </w:r>
      <w:r w:rsidRPr="0059083D">
        <w:rPr>
          <w:szCs w:val="24"/>
          <w:lang w:val="fr-CA"/>
        </w:rPr>
        <w:t xml:space="preserve">de la société qui acquiert ou remplace la Société des droits </w:t>
      </w:r>
      <w:r>
        <w:rPr>
          <w:szCs w:val="24"/>
          <w:lang w:val="fr-CA"/>
        </w:rPr>
        <w:t xml:space="preserve">de participation </w:t>
      </w:r>
      <w:r w:rsidRPr="0059083D">
        <w:rPr>
          <w:szCs w:val="24"/>
          <w:lang w:val="fr-CA"/>
        </w:rPr>
        <w:t xml:space="preserve">raisonnablement comparables à ceux prévus au présent </w:t>
      </w:r>
      <w:r w:rsidR="0006561D" w:rsidRPr="0059083D">
        <w:rPr>
          <w:szCs w:val="24"/>
          <w:u w:val="single"/>
          <w:lang w:val="fr-CA"/>
        </w:rPr>
        <w:t>article </w:t>
      </w:r>
      <w:r w:rsidR="00260686" w:rsidRPr="00986BEB">
        <w:rPr>
          <w:szCs w:val="24"/>
          <w:u w:val="single"/>
          <w:lang w:val="fr-CA"/>
        </w:rPr>
        <w:fldChar w:fldCharType="begin"/>
      </w:r>
      <w:r w:rsidR="00260686" w:rsidRPr="00986BEB">
        <w:rPr>
          <w:szCs w:val="24"/>
          <w:u w:val="single"/>
          <w:lang w:val="fr-CA"/>
        </w:rPr>
        <w:instrText xml:space="preserve"> REF _Ref448380626 \r \h </w:instrText>
      </w:r>
      <w:r w:rsidR="00260686" w:rsidRPr="00986BEB">
        <w:rPr>
          <w:szCs w:val="24"/>
          <w:u w:val="single"/>
          <w:lang w:val="fr-CA"/>
        </w:rPr>
      </w:r>
      <w:r w:rsidR="00260686" w:rsidRPr="00986BEB">
        <w:rPr>
          <w:szCs w:val="24"/>
          <w:u w:val="single"/>
          <w:lang w:val="fr-CA"/>
        </w:rPr>
        <w:fldChar w:fldCharType="separate"/>
      </w:r>
      <w:r w:rsidR="00AE1D96">
        <w:rPr>
          <w:szCs w:val="24"/>
          <w:u w:val="single"/>
          <w:lang w:val="fr-CA"/>
        </w:rPr>
        <w:t>4</w:t>
      </w:r>
      <w:r w:rsidR="00260686" w:rsidRPr="00986BEB">
        <w:rPr>
          <w:szCs w:val="24"/>
          <w:u w:val="single"/>
          <w:lang w:val="fr-CA"/>
        </w:rPr>
        <w:fldChar w:fldCharType="end"/>
      </w:r>
      <w:r w:rsidR="00260686" w:rsidRPr="0059083D">
        <w:rPr>
          <w:szCs w:val="24"/>
          <w:u w:val="single"/>
          <w:lang w:val="fr-CA"/>
        </w:rPr>
        <w:t>]</w:t>
      </w:r>
      <w:r w:rsidR="00260686" w:rsidRPr="0059083D">
        <w:rPr>
          <w:szCs w:val="24"/>
          <w:lang w:val="fr-CA"/>
        </w:rPr>
        <w:t>,</w:t>
      </w:r>
      <w:r w:rsidR="000B08F2" w:rsidRPr="0059083D">
        <w:rPr>
          <w:snapToGrid w:val="0"/>
          <w:lang w:val="fr-CA"/>
        </w:rPr>
        <w:t xml:space="preserve"> </w:t>
      </w:r>
      <w:r>
        <w:rPr>
          <w:snapToGrid w:val="0"/>
          <w:lang w:val="fr-CA"/>
        </w:rPr>
        <w:t>selon la première éventualité à survenir</w:t>
      </w:r>
      <w:r w:rsidR="000B08F2" w:rsidRPr="0059083D">
        <w:rPr>
          <w:snapToGrid w:val="0"/>
          <w:lang w:val="fr-CA"/>
        </w:rPr>
        <w:t xml:space="preserve"> [</w:t>
      </w:r>
      <w:r>
        <w:rPr>
          <w:snapToGrid w:val="0"/>
          <w:lang w:val="fr-CA"/>
        </w:rPr>
        <w:t xml:space="preserve">et, en ce qui concerne chaque </w:t>
      </w:r>
      <w:r w:rsidR="006C7CDF" w:rsidRPr="0059083D">
        <w:rPr>
          <w:snapToGrid w:val="0"/>
          <w:lang w:val="fr-CA"/>
        </w:rPr>
        <w:t>Investisseur important</w:t>
      </w:r>
      <w:r w:rsidR="000B08F2" w:rsidRPr="0059083D">
        <w:rPr>
          <w:snapToGrid w:val="0"/>
          <w:lang w:val="fr-CA"/>
        </w:rPr>
        <w:t xml:space="preserve">, </w:t>
      </w:r>
      <w:r>
        <w:rPr>
          <w:snapToGrid w:val="0"/>
          <w:lang w:val="fr-CA"/>
        </w:rPr>
        <w:t>conformément à l’</w:t>
      </w:r>
      <w:r w:rsidR="0006561D" w:rsidRPr="0059083D">
        <w:rPr>
          <w:snapToGrid w:val="0"/>
          <w:u w:val="single"/>
          <w:lang w:val="fr-CA"/>
        </w:rPr>
        <w:t>alinéa </w:t>
      </w:r>
      <w:bookmarkStart w:id="318" w:name="DocXTextRef270"/>
      <w:r w:rsidR="000B08F2" w:rsidRPr="00986BEB">
        <w:rPr>
          <w:snapToGrid w:val="0"/>
          <w:u w:val="single"/>
          <w:lang w:val="fr-CA"/>
        </w:rPr>
        <w:fldChar w:fldCharType="begin"/>
      </w:r>
      <w:r w:rsidR="00F251F0" w:rsidRPr="00986BEB">
        <w:rPr>
          <w:snapToGrid w:val="0"/>
          <w:u w:val="single"/>
          <w:lang w:val="fr-CA"/>
        </w:rPr>
        <w:instrText xml:space="preserve"> REF _Ref448380632 \w \h  \* MERGEFORMAT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4.1e)</w:t>
      </w:r>
      <w:r w:rsidR="000B08F2" w:rsidRPr="00986BEB">
        <w:rPr>
          <w:snapToGrid w:val="0"/>
          <w:u w:val="single"/>
          <w:lang w:val="fr-CA"/>
        </w:rPr>
        <w:fldChar w:fldCharType="end"/>
      </w:r>
      <w:bookmarkEnd w:id="318"/>
      <w:r w:rsidR="000B08F2" w:rsidRPr="0059083D">
        <w:rPr>
          <w:snapToGrid w:val="0"/>
          <w:lang w:val="fr-CA"/>
        </w:rPr>
        <w:t>].</w:t>
      </w:r>
      <w:r w:rsidR="002805D7">
        <w:rPr>
          <w:snapToGrid w:val="0"/>
          <w:lang w:val="fr-CA"/>
        </w:rPr>
        <w:t xml:space="preserve"> </w:t>
      </w:r>
    </w:p>
    <w:p w14:paraId="0E634500" w14:textId="0B6AC94B" w:rsidR="00037C7E" w:rsidRPr="00986BEB" w:rsidRDefault="00332A61">
      <w:pPr>
        <w:pStyle w:val="StandardL1"/>
        <w:rPr>
          <w:lang w:val="fr-CA"/>
        </w:rPr>
      </w:pPr>
      <w:bookmarkStart w:id="319" w:name="_Ref448380636"/>
      <w:bookmarkStart w:id="320" w:name="_Toc132874743"/>
      <w:r w:rsidRPr="009D4254">
        <w:rPr>
          <w:lang w:val="fr-CA"/>
        </w:rPr>
        <w:t>Engagements supplémentaires</w:t>
      </w:r>
      <w:r w:rsidR="000B08F2" w:rsidRPr="009D4254">
        <w:rPr>
          <w:snapToGrid w:val="0"/>
          <w:lang w:val="fr-CA"/>
        </w:rPr>
        <w:t>.</w:t>
      </w:r>
      <w:bookmarkEnd w:id="319"/>
      <w:bookmarkEnd w:id="320"/>
    </w:p>
    <w:p w14:paraId="115ACB99" w14:textId="474CE6D3" w:rsidR="00037C7E" w:rsidRPr="00986BEB" w:rsidRDefault="00332A61">
      <w:pPr>
        <w:pStyle w:val="StandardL2"/>
        <w:rPr>
          <w:lang w:val="fr-CA"/>
        </w:rPr>
      </w:pPr>
      <w:bookmarkStart w:id="321" w:name="_Ref448380637"/>
      <w:bookmarkStart w:id="322" w:name="_Toc132874744"/>
      <w:r w:rsidRPr="009D4254">
        <w:rPr>
          <w:lang w:val="fr-CA"/>
        </w:rPr>
        <w:t>Assurance</w:t>
      </w:r>
      <w:r w:rsidR="000B08F2" w:rsidRPr="009D4254">
        <w:rPr>
          <w:snapToGrid w:val="0"/>
          <w:lang w:val="fr-CA"/>
        </w:rPr>
        <w:t>.</w:t>
      </w:r>
      <w:bookmarkEnd w:id="321"/>
      <w:bookmarkEnd w:id="322"/>
    </w:p>
    <w:p w14:paraId="634161B4" w14:textId="672FF7F9" w:rsidR="00037C7E" w:rsidRPr="0059083D" w:rsidRDefault="000B08F2">
      <w:pPr>
        <w:pStyle w:val="StandardCont2"/>
        <w:rPr>
          <w:lang w:val="fr-CA"/>
        </w:rPr>
      </w:pPr>
      <w:r w:rsidRPr="009D4254">
        <w:rPr>
          <w:snapToGrid w:val="0"/>
          <w:lang w:val="fr-CA"/>
        </w:rPr>
        <w:t>La Société [</w:t>
      </w:r>
      <w:r w:rsidR="00A4142A" w:rsidRPr="009D4254">
        <w:rPr>
          <w:snapToGrid w:val="0"/>
          <w:lang w:val="fr-CA"/>
        </w:rPr>
        <w:t>déplo</w:t>
      </w:r>
      <w:r w:rsidR="00332A61" w:rsidRPr="009D4254">
        <w:rPr>
          <w:snapToGrid w:val="0"/>
          <w:lang w:val="fr-CA"/>
        </w:rPr>
        <w:t>ie</w:t>
      </w:r>
      <w:r w:rsidR="00A4142A" w:rsidRPr="009D4254">
        <w:rPr>
          <w:snapToGrid w:val="0"/>
          <w:lang w:val="fr-CA"/>
        </w:rPr>
        <w:t xml:space="preserve"> des efforts raisonnables sur le plan commercial</w:t>
      </w:r>
      <w:r w:rsidRPr="009D4254">
        <w:rPr>
          <w:snapToGrid w:val="0"/>
          <w:lang w:val="fr-CA"/>
        </w:rPr>
        <w:t xml:space="preserve"> </w:t>
      </w:r>
      <w:r w:rsidR="00332A61" w:rsidRPr="009D4254">
        <w:rPr>
          <w:snapToGrid w:val="0"/>
          <w:lang w:val="fr-CA"/>
        </w:rPr>
        <w:t>pour obtenir</w:t>
      </w:r>
      <w:r w:rsidR="008F74D5">
        <w:rPr>
          <w:snapToGrid w:val="0"/>
          <w:lang w:val="fr-CA"/>
        </w:rPr>
        <w:t>]</w:t>
      </w:r>
      <w:r w:rsidR="001173EA">
        <w:rPr>
          <w:snapToGrid w:val="0"/>
          <w:lang w:val="fr-CA"/>
        </w:rPr>
        <w:t xml:space="preserve"> </w:t>
      </w:r>
      <w:r w:rsidR="00332A61" w:rsidRPr="009D4254">
        <w:rPr>
          <w:snapToGrid w:val="0"/>
          <w:lang w:val="fr-CA"/>
        </w:rPr>
        <w:t>obtient</w:t>
      </w:r>
      <w:r w:rsidRPr="009D4254">
        <w:rPr>
          <w:snapToGrid w:val="0"/>
          <w:lang w:val="fr-CA"/>
        </w:rPr>
        <w:t xml:space="preserve">, </w:t>
      </w:r>
      <w:r w:rsidR="00332A61" w:rsidRPr="009D4254">
        <w:rPr>
          <w:snapToGrid w:val="0"/>
          <w:lang w:val="fr-CA"/>
        </w:rPr>
        <w:t xml:space="preserve">dans les </w:t>
      </w:r>
      <w:r w:rsidR="0059083D" w:rsidRPr="009D4254">
        <w:rPr>
          <w:snapToGrid w:val="0"/>
          <w:lang w:val="fr-CA"/>
        </w:rPr>
        <w:t>quatre-vingt-dix</w:t>
      </w:r>
      <w:r w:rsidRPr="009D4254">
        <w:rPr>
          <w:snapToGrid w:val="0"/>
          <w:lang w:val="fr-CA"/>
        </w:rPr>
        <w:t xml:space="preserve"> (</w:t>
      </w:r>
      <w:r w:rsidRPr="00986BEB">
        <w:rPr>
          <w:snapToGrid w:val="0"/>
          <w:lang w:val="fr-CA"/>
        </w:rPr>
        <w:t>90</w:t>
      </w:r>
      <w:r w:rsidRPr="009D4254">
        <w:rPr>
          <w:snapToGrid w:val="0"/>
          <w:lang w:val="fr-CA"/>
        </w:rPr>
        <w:t>)</w:t>
      </w:r>
      <w:r w:rsidR="0059083D" w:rsidRPr="009D4254">
        <w:rPr>
          <w:snapToGrid w:val="0"/>
          <w:lang w:val="fr-CA"/>
        </w:rPr>
        <w:t> jours</w:t>
      </w:r>
      <w:r w:rsidRPr="009D4254">
        <w:rPr>
          <w:snapToGrid w:val="0"/>
          <w:lang w:val="fr-CA"/>
        </w:rPr>
        <w:t xml:space="preserve"> </w:t>
      </w:r>
      <w:r w:rsidR="00332A61" w:rsidRPr="009D4254">
        <w:rPr>
          <w:snapToGrid w:val="0"/>
          <w:lang w:val="fr-CA"/>
        </w:rPr>
        <w:t>suivant la date des présentes</w:t>
      </w:r>
      <w:r w:rsidRPr="009D4254">
        <w:rPr>
          <w:snapToGrid w:val="0"/>
          <w:lang w:val="fr-CA"/>
        </w:rPr>
        <w:t xml:space="preserve">, </w:t>
      </w:r>
      <w:r w:rsidR="00332A61" w:rsidRPr="009D4254">
        <w:rPr>
          <w:snapToGrid w:val="0"/>
          <w:lang w:val="fr-CA"/>
        </w:rPr>
        <w:t>auprès d’assureurs réputés et en bonne santé financière</w:t>
      </w:r>
      <w:r w:rsidR="003B175A">
        <w:rPr>
          <w:snapToGrid w:val="0"/>
          <w:lang w:val="fr-CA"/>
        </w:rPr>
        <w:t>,</w:t>
      </w:r>
      <w:r w:rsidR="00332A61" w:rsidRPr="009D4254">
        <w:rPr>
          <w:snapToGrid w:val="0"/>
          <w:lang w:val="fr-CA"/>
        </w:rPr>
        <w:t xml:space="preserve"> une assurance de la responsabilité civile des administrateurs et des dirigeants et une assurance « personne</w:t>
      </w:r>
      <w:r w:rsidR="0014173B">
        <w:rPr>
          <w:snapToGrid w:val="0"/>
          <w:lang w:val="fr-CA"/>
        </w:rPr>
        <w:t xml:space="preserve"> </w:t>
      </w:r>
      <w:r w:rsidR="00332A61" w:rsidRPr="009D4254">
        <w:rPr>
          <w:snapToGrid w:val="0"/>
          <w:lang w:val="fr-CA"/>
        </w:rPr>
        <w:t xml:space="preserve">clé » temporaire pour </w:t>
      </w:r>
      <w:r w:rsidRPr="009D4254">
        <w:rPr>
          <w:snapToGrid w:val="0"/>
          <w:lang w:val="fr-CA"/>
        </w:rPr>
        <w:t xml:space="preserve">[_____], </w:t>
      </w:r>
      <w:r w:rsidR="00332A61" w:rsidRPr="009D4254">
        <w:rPr>
          <w:snapToGrid w:val="0"/>
          <w:lang w:val="fr-CA"/>
        </w:rPr>
        <w:t xml:space="preserve">chacune d’un montant et selon des modalités que le </w:t>
      </w:r>
      <w:r w:rsidRPr="009D4254">
        <w:rPr>
          <w:snapToGrid w:val="0"/>
          <w:lang w:val="fr-CA"/>
        </w:rPr>
        <w:t>Conseil d’administration</w:t>
      </w:r>
      <w:r w:rsidR="00332A61" w:rsidRPr="009D4254">
        <w:rPr>
          <w:snapToGrid w:val="0"/>
          <w:lang w:val="fr-CA"/>
        </w:rPr>
        <w:t xml:space="preserve"> juste satisfaisants</w:t>
      </w:r>
      <w:r w:rsidRPr="009D4254">
        <w:rPr>
          <w:snapToGrid w:val="0"/>
          <w:lang w:val="fr-CA"/>
        </w:rPr>
        <w:t xml:space="preserve">, </w:t>
      </w:r>
      <w:r w:rsidR="00332A61" w:rsidRPr="009D4254">
        <w:rPr>
          <w:snapToGrid w:val="0"/>
          <w:lang w:val="fr-CA"/>
        </w:rPr>
        <w:t xml:space="preserve">et </w:t>
      </w:r>
      <w:r w:rsidR="002C72C8" w:rsidRPr="009D4254">
        <w:rPr>
          <w:snapToGrid w:val="0"/>
          <w:lang w:val="fr-CA"/>
        </w:rPr>
        <w:t>déplo</w:t>
      </w:r>
      <w:r w:rsidR="00332A61" w:rsidRPr="009D4254">
        <w:rPr>
          <w:snapToGrid w:val="0"/>
          <w:lang w:val="fr-CA"/>
        </w:rPr>
        <w:t>iera</w:t>
      </w:r>
      <w:r w:rsidR="002C72C8" w:rsidRPr="009D4254">
        <w:rPr>
          <w:snapToGrid w:val="0"/>
          <w:lang w:val="fr-CA"/>
        </w:rPr>
        <w:t xml:space="preserve"> des efforts raisonnables sur le plan commercial</w:t>
      </w:r>
      <w:r w:rsidRPr="009D4254">
        <w:rPr>
          <w:snapToGrid w:val="0"/>
          <w:lang w:val="fr-CA"/>
        </w:rPr>
        <w:t xml:space="preserve"> </w:t>
      </w:r>
      <w:r w:rsidR="00332A61" w:rsidRPr="009D4254">
        <w:rPr>
          <w:snapToGrid w:val="0"/>
          <w:lang w:val="fr-CA"/>
        </w:rPr>
        <w:t xml:space="preserve">pour que ces polices d’assurance </w:t>
      </w:r>
      <w:r w:rsidR="00E67397" w:rsidRPr="009D4254">
        <w:rPr>
          <w:snapToGrid w:val="0"/>
          <w:lang w:val="fr-CA"/>
        </w:rPr>
        <w:t>soi</w:t>
      </w:r>
      <w:r w:rsidR="0014173B">
        <w:rPr>
          <w:snapToGrid w:val="0"/>
          <w:lang w:val="fr-CA"/>
        </w:rPr>
        <w:t>en</w:t>
      </w:r>
      <w:r w:rsidR="00E67397" w:rsidRPr="009D4254">
        <w:rPr>
          <w:snapToGrid w:val="0"/>
          <w:lang w:val="fr-CA"/>
        </w:rPr>
        <w:t>t maintenue</w:t>
      </w:r>
      <w:r w:rsidR="0014173B">
        <w:rPr>
          <w:snapToGrid w:val="0"/>
          <w:lang w:val="fr-CA"/>
        </w:rPr>
        <w:t>s</w:t>
      </w:r>
      <w:r w:rsidR="00332A61" w:rsidRPr="009D4254">
        <w:rPr>
          <w:snapToGrid w:val="0"/>
          <w:lang w:val="fr-CA"/>
        </w:rPr>
        <w:t xml:space="preserve"> en vigueur jusqu’à ce que </w:t>
      </w:r>
      <w:r w:rsidRPr="009D4254">
        <w:rPr>
          <w:snapToGrid w:val="0"/>
          <w:lang w:val="fr-CA"/>
        </w:rPr>
        <w:t xml:space="preserve">le Conseil d’administration </w:t>
      </w:r>
      <w:r w:rsidR="00332A61" w:rsidRPr="009D4254">
        <w:rPr>
          <w:snapToGrid w:val="0"/>
          <w:lang w:val="fr-CA"/>
        </w:rPr>
        <w:t>décide qu’elles ne sont plus nécessaires</w:t>
      </w:r>
      <w:r w:rsidRPr="009D4254">
        <w:rPr>
          <w:snapToGrid w:val="0"/>
          <w:lang w:val="fr-CA"/>
        </w:rPr>
        <w:t>.</w:t>
      </w:r>
      <w:r w:rsidRPr="0059083D">
        <w:rPr>
          <w:snapToGrid w:val="0"/>
          <w:lang w:val="fr-CA"/>
        </w:rPr>
        <w:t xml:space="preserve"> </w:t>
      </w:r>
      <w:r w:rsidR="00E67397">
        <w:rPr>
          <w:snapToGrid w:val="0"/>
          <w:lang w:val="fr-CA"/>
        </w:rPr>
        <w:t>La police d’assurance personne</w:t>
      </w:r>
      <w:r w:rsidR="0014173B">
        <w:rPr>
          <w:snapToGrid w:val="0"/>
          <w:lang w:val="fr-CA"/>
        </w:rPr>
        <w:t xml:space="preserve"> </w:t>
      </w:r>
      <w:r w:rsidR="00E67397">
        <w:rPr>
          <w:snapToGrid w:val="0"/>
          <w:lang w:val="fr-CA"/>
        </w:rPr>
        <w:t xml:space="preserve">clé doit désigner la </w:t>
      </w:r>
      <w:r w:rsidRPr="0059083D">
        <w:rPr>
          <w:snapToGrid w:val="0"/>
          <w:lang w:val="fr-CA"/>
        </w:rPr>
        <w:t xml:space="preserve">Société </w:t>
      </w:r>
      <w:r w:rsidR="00E67397">
        <w:rPr>
          <w:snapToGrid w:val="0"/>
          <w:lang w:val="fr-CA"/>
        </w:rPr>
        <w:t xml:space="preserve">à titre de bénéficiaire et </w:t>
      </w:r>
      <w:r w:rsidR="003B175A">
        <w:rPr>
          <w:snapToGrid w:val="0"/>
          <w:lang w:val="fr-CA"/>
        </w:rPr>
        <w:t>aucune</w:t>
      </w:r>
      <w:r w:rsidR="00E67397">
        <w:rPr>
          <w:snapToGrid w:val="0"/>
          <w:lang w:val="fr-CA"/>
        </w:rPr>
        <w:t xml:space="preserve"> des polices ne peut être annulée par la </w:t>
      </w:r>
      <w:r w:rsidRPr="0059083D">
        <w:rPr>
          <w:snapToGrid w:val="0"/>
          <w:lang w:val="fr-CA"/>
        </w:rPr>
        <w:t xml:space="preserve">Société </w:t>
      </w:r>
      <w:r w:rsidR="00E67397">
        <w:rPr>
          <w:snapToGrid w:val="0"/>
          <w:lang w:val="fr-CA"/>
        </w:rPr>
        <w:t xml:space="preserve">sans l’approbation préalable du </w:t>
      </w:r>
      <w:r w:rsidRPr="0059083D">
        <w:rPr>
          <w:snapToGrid w:val="0"/>
          <w:lang w:val="fr-CA"/>
        </w:rPr>
        <w:t>Conseil d’administration</w:t>
      </w:r>
      <w:r w:rsidR="0024270F">
        <w:rPr>
          <w:snapToGrid w:val="0"/>
          <w:lang w:val="fr-CA"/>
        </w:rPr>
        <w:t xml:space="preserve"> </w:t>
      </w:r>
      <w:r w:rsidRPr="0059083D">
        <w:rPr>
          <w:snapToGrid w:val="0"/>
          <w:lang w:val="fr-CA"/>
        </w:rPr>
        <w:t xml:space="preserve">[, </w:t>
      </w:r>
      <w:r w:rsidR="00E67397">
        <w:rPr>
          <w:snapToGrid w:val="0"/>
          <w:lang w:val="fr-CA"/>
        </w:rPr>
        <w:t xml:space="preserve">y compris le </w:t>
      </w:r>
      <w:r w:rsidR="00D22551" w:rsidRPr="0059083D">
        <w:rPr>
          <w:snapToGrid w:val="0"/>
          <w:lang w:val="fr-CA"/>
        </w:rPr>
        <w:t>Vote requis des Administrateurs privilégiés</w:t>
      </w:r>
      <w:r w:rsidRPr="0059083D">
        <w:rPr>
          <w:snapToGrid w:val="0"/>
          <w:lang w:val="fr-CA"/>
        </w:rPr>
        <w:t>]</w:t>
      </w:r>
      <w:r w:rsidR="00E67397">
        <w:rPr>
          <w:snapToGrid w:val="0"/>
          <w:lang w:val="fr-CA"/>
        </w:rPr>
        <w:t xml:space="preserve"> </w:t>
      </w:r>
      <w:r w:rsidRPr="0059083D">
        <w:rPr>
          <w:snapToGrid w:val="0"/>
          <w:lang w:val="fr-CA"/>
        </w:rPr>
        <w:t>[</w:t>
      </w:r>
      <w:r w:rsidR="00E67397">
        <w:rPr>
          <w:snapToGrid w:val="0"/>
          <w:lang w:val="fr-CA"/>
        </w:rPr>
        <w:t xml:space="preserve">et </w:t>
      </w:r>
      <w:r w:rsidR="001173EA">
        <w:rPr>
          <w:snapToGrid w:val="0"/>
          <w:lang w:val="fr-CA"/>
        </w:rPr>
        <w:t>d</w:t>
      </w:r>
      <w:r w:rsidR="00E67397">
        <w:rPr>
          <w:snapToGrid w:val="0"/>
          <w:lang w:val="fr-CA"/>
        </w:rPr>
        <w:t xml:space="preserve">es porteurs </w:t>
      </w:r>
      <w:r w:rsidRPr="0059083D">
        <w:rPr>
          <w:snapToGrid w:val="0"/>
          <w:lang w:val="fr-CA"/>
        </w:rPr>
        <w:t>[</w:t>
      </w:r>
      <w:r w:rsidR="001173EA">
        <w:rPr>
          <w:snapToGrid w:val="0"/>
          <w:lang w:val="fr-CA"/>
        </w:rPr>
        <w:t xml:space="preserve">de </w:t>
      </w:r>
      <w:r w:rsidR="00E67397">
        <w:rPr>
          <w:snapToGrid w:val="0"/>
          <w:lang w:val="fr-CA"/>
        </w:rPr>
        <w:t xml:space="preserve">la </w:t>
      </w:r>
      <w:r w:rsidRPr="0059083D">
        <w:rPr>
          <w:snapToGrid w:val="0"/>
          <w:lang w:val="fr-CA"/>
        </w:rPr>
        <w:t>majorit</w:t>
      </w:r>
      <w:r w:rsidR="00E67397">
        <w:rPr>
          <w:snapToGrid w:val="0"/>
          <w:lang w:val="fr-CA"/>
        </w:rPr>
        <w:t>é</w:t>
      </w:r>
      <w:r w:rsidRPr="0059083D">
        <w:rPr>
          <w:snapToGrid w:val="0"/>
          <w:lang w:val="fr-CA"/>
        </w:rPr>
        <w:t xml:space="preserve">] </w:t>
      </w:r>
      <w:r w:rsidR="00E67397">
        <w:rPr>
          <w:snapToGrid w:val="0"/>
          <w:lang w:val="fr-CA"/>
        </w:rPr>
        <w:t xml:space="preserve">des </w:t>
      </w:r>
      <w:r w:rsidR="004B6285" w:rsidRPr="0059083D">
        <w:rPr>
          <w:snapToGrid w:val="0"/>
          <w:lang w:val="fr-CA"/>
        </w:rPr>
        <w:t>Actions privilégiées</w:t>
      </w:r>
      <w:r w:rsidRPr="0059083D">
        <w:rPr>
          <w:snapToGrid w:val="0"/>
          <w:lang w:val="fr-CA"/>
        </w:rPr>
        <w:t>].</w:t>
      </w:r>
      <w:r w:rsidR="0024270F">
        <w:rPr>
          <w:snapToGrid w:val="0"/>
          <w:lang w:val="fr-CA"/>
        </w:rPr>
        <w:t xml:space="preserve"> </w:t>
      </w:r>
      <w:r w:rsidRPr="0059083D">
        <w:rPr>
          <w:snapToGrid w:val="0"/>
          <w:lang w:val="fr-CA"/>
        </w:rPr>
        <w:t>[</w:t>
      </w:r>
      <w:r w:rsidR="00E67397">
        <w:rPr>
          <w:snapToGrid w:val="0"/>
          <w:lang w:val="fr-CA"/>
        </w:rPr>
        <w:t xml:space="preserve">Malgré toute autre disposition </w:t>
      </w:r>
      <w:r w:rsidR="0024270F">
        <w:rPr>
          <w:snapToGrid w:val="0"/>
          <w:lang w:val="fr-CA"/>
        </w:rPr>
        <w:t xml:space="preserve">contraire </w:t>
      </w:r>
      <w:r w:rsidR="00E67397">
        <w:rPr>
          <w:snapToGrid w:val="0"/>
          <w:lang w:val="fr-CA"/>
        </w:rPr>
        <w:t xml:space="preserve">du </w:t>
      </w:r>
      <w:r w:rsidR="0059083D">
        <w:rPr>
          <w:snapToGrid w:val="0"/>
          <w:lang w:val="fr-CA"/>
        </w:rPr>
        <w:t>présent</w:t>
      </w:r>
      <w:r w:rsidRPr="0059083D">
        <w:rPr>
          <w:snapToGrid w:val="0"/>
          <w:lang w:val="fr-CA"/>
        </w:rPr>
        <w:t xml:space="preserve"> </w:t>
      </w:r>
      <w:r w:rsidR="002A0F83" w:rsidRPr="0059083D">
        <w:rPr>
          <w:snapToGrid w:val="0"/>
          <w:u w:val="single"/>
          <w:lang w:val="fr-CA"/>
        </w:rPr>
        <w:t>paragraphe </w:t>
      </w:r>
      <w:r w:rsidRPr="00986BEB">
        <w:rPr>
          <w:snapToGrid w:val="0"/>
          <w:u w:val="single"/>
          <w:lang w:val="fr-CA"/>
        </w:rPr>
        <w:fldChar w:fldCharType="begin"/>
      </w:r>
      <w:r w:rsidRPr="00986BEB">
        <w:rPr>
          <w:snapToGrid w:val="0"/>
          <w:u w:val="single"/>
          <w:lang w:val="fr-CA"/>
        </w:rPr>
        <w:instrText xml:space="preserve">  REF _Ref448380637 \w \h \* MERGEFORMAT </w:instrText>
      </w:r>
      <w:r w:rsidRPr="00986BEB">
        <w:rPr>
          <w:snapToGrid w:val="0"/>
          <w:u w:val="single"/>
          <w:lang w:val="fr-CA"/>
        </w:rPr>
      </w:r>
      <w:r w:rsidRPr="00986BEB">
        <w:rPr>
          <w:snapToGrid w:val="0"/>
          <w:u w:val="single"/>
          <w:lang w:val="fr-CA"/>
        </w:rPr>
        <w:fldChar w:fldCharType="separate"/>
      </w:r>
      <w:r w:rsidR="00AE1D96" w:rsidRPr="00AE1D96">
        <w:rPr>
          <w:snapToGrid w:val="0"/>
          <w:color w:val="000000"/>
          <w:u w:val="single"/>
          <w:lang w:val="fr-CA"/>
        </w:rPr>
        <w:t>5.1</w:t>
      </w:r>
      <w:r w:rsidRPr="00986BEB">
        <w:rPr>
          <w:snapToGrid w:val="0"/>
          <w:u w:val="single"/>
          <w:lang w:val="fr-CA"/>
        </w:rPr>
        <w:fldChar w:fldCharType="end"/>
      </w:r>
      <w:r w:rsidRPr="0059083D">
        <w:rPr>
          <w:snapToGrid w:val="0"/>
          <w:lang w:val="fr-CA"/>
        </w:rPr>
        <w:t xml:space="preserve">, </w:t>
      </w:r>
      <w:r w:rsidR="00E67397">
        <w:rPr>
          <w:snapToGrid w:val="0"/>
          <w:lang w:val="fr-CA"/>
        </w:rPr>
        <w:t xml:space="preserve">tant qu’un </w:t>
      </w:r>
      <w:r w:rsidR="004B6285" w:rsidRPr="0059083D">
        <w:rPr>
          <w:snapToGrid w:val="0"/>
          <w:lang w:val="fr-CA"/>
        </w:rPr>
        <w:t>Administrateur privilégié</w:t>
      </w:r>
      <w:r w:rsidRPr="0059083D">
        <w:rPr>
          <w:snapToGrid w:val="0"/>
          <w:lang w:val="fr-CA"/>
        </w:rPr>
        <w:t xml:space="preserve"> </w:t>
      </w:r>
      <w:r w:rsidR="00E67397">
        <w:rPr>
          <w:snapToGrid w:val="0"/>
          <w:lang w:val="fr-CA"/>
        </w:rPr>
        <w:t xml:space="preserve">siège au </w:t>
      </w:r>
      <w:r w:rsidRPr="0059083D">
        <w:rPr>
          <w:snapToGrid w:val="0"/>
          <w:lang w:val="fr-CA"/>
        </w:rPr>
        <w:t xml:space="preserve">Conseil d’administration, </w:t>
      </w:r>
      <w:r w:rsidR="00E67397">
        <w:rPr>
          <w:snapToGrid w:val="0"/>
          <w:lang w:val="fr-CA"/>
        </w:rPr>
        <w:t xml:space="preserve">sauf </w:t>
      </w:r>
      <w:r w:rsidR="00587B76">
        <w:rPr>
          <w:snapToGrid w:val="0"/>
          <w:lang w:val="fr-CA"/>
        </w:rPr>
        <w:t>avec l’</w:t>
      </w:r>
      <w:r w:rsidR="00E67397">
        <w:rPr>
          <w:snapToGrid w:val="0"/>
          <w:lang w:val="fr-CA"/>
        </w:rPr>
        <w:t xml:space="preserve">approbation de cet Administrateur privilégié, </w:t>
      </w:r>
      <w:r w:rsidRPr="0059083D">
        <w:rPr>
          <w:snapToGrid w:val="0"/>
          <w:lang w:val="fr-CA"/>
        </w:rPr>
        <w:t xml:space="preserve">la Société </w:t>
      </w:r>
      <w:r w:rsidR="0024270F">
        <w:rPr>
          <w:snapToGrid w:val="0"/>
          <w:lang w:val="fr-CA"/>
        </w:rPr>
        <w:t>ne cessera pas de maintenir</w:t>
      </w:r>
      <w:r w:rsidR="00E67397">
        <w:rPr>
          <w:snapToGrid w:val="0"/>
          <w:lang w:val="fr-CA"/>
        </w:rPr>
        <w:t xml:space="preserve"> en vigueur une police d’assurance de la responsabilité civile des administrateurs et des dirigeants d’un montant d’au moins </w:t>
      </w:r>
      <w:r w:rsidRPr="0059083D">
        <w:rPr>
          <w:snapToGrid w:val="0"/>
          <w:lang w:val="fr-CA"/>
        </w:rPr>
        <w:t>[</w:t>
      </w:r>
      <w:r w:rsidR="00E67397" w:rsidRPr="00986BEB">
        <w:rPr>
          <w:snapToGrid w:val="0"/>
          <w:lang w:val="fr-CA"/>
        </w:rPr>
        <w:t>3</w:t>
      </w:r>
      <w:r w:rsidR="00E67397">
        <w:rPr>
          <w:snapToGrid w:val="0"/>
          <w:lang w:val="fr-CA"/>
        </w:rPr>
        <w:t> M$ CA</w:t>
      </w:r>
      <w:r w:rsidRPr="0059083D">
        <w:rPr>
          <w:snapToGrid w:val="0"/>
          <w:lang w:val="fr-CA"/>
        </w:rPr>
        <w:t>]</w:t>
      </w:r>
      <w:r w:rsidR="00E67397">
        <w:rPr>
          <w:snapToGrid w:val="0"/>
          <w:lang w:val="fr-CA"/>
        </w:rPr>
        <w:t xml:space="preserve">, </w:t>
      </w:r>
      <w:r w:rsidR="00D7366A" w:rsidRPr="0059083D">
        <w:rPr>
          <w:szCs w:val="24"/>
          <w:lang w:val="fr-CA"/>
        </w:rPr>
        <w:t>[</w:t>
      </w:r>
      <w:r w:rsidR="00E67397">
        <w:rPr>
          <w:szCs w:val="24"/>
          <w:lang w:val="fr-CA"/>
        </w:rPr>
        <w:t xml:space="preserve">qui inclut le ou les </w:t>
      </w:r>
      <w:r w:rsidR="000F37C7" w:rsidRPr="0059083D">
        <w:rPr>
          <w:szCs w:val="24"/>
          <w:lang w:val="fr-CA"/>
        </w:rPr>
        <w:t>Investisseur</w:t>
      </w:r>
      <w:r w:rsidR="00D7366A" w:rsidRPr="0059083D">
        <w:rPr>
          <w:szCs w:val="24"/>
          <w:lang w:val="fr-CA"/>
        </w:rPr>
        <w:t xml:space="preserve">[s] </w:t>
      </w:r>
      <w:r w:rsidR="00E67397">
        <w:rPr>
          <w:szCs w:val="24"/>
          <w:lang w:val="fr-CA"/>
        </w:rPr>
        <w:t>ayant le droit de désigner l’</w:t>
      </w:r>
      <w:r w:rsidR="004B6285" w:rsidRPr="0059083D">
        <w:rPr>
          <w:szCs w:val="24"/>
          <w:lang w:val="fr-CA"/>
        </w:rPr>
        <w:t>Administrateur privilégié</w:t>
      </w:r>
      <w:r w:rsidR="00D7366A" w:rsidRPr="0059083D">
        <w:rPr>
          <w:szCs w:val="24"/>
          <w:lang w:val="fr-CA"/>
        </w:rPr>
        <w:t xml:space="preserve"> </w:t>
      </w:r>
      <w:r w:rsidR="00E67397">
        <w:rPr>
          <w:szCs w:val="24"/>
          <w:lang w:val="fr-CA"/>
        </w:rPr>
        <w:t>conformément à la Convention de vote</w:t>
      </w:r>
      <w:r w:rsidR="00D7366A" w:rsidRPr="0059083D">
        <w:rPr>
          <w:szCs w:val="24"/>
          <w:lang w:val="fr-CA"/>
        </w:rPr>
        <w:t xml:space="preserve"> </w:t>
      </w:r>
      <w:r w:rsidR="00E67397">
        <w:rPr>
          <w:szCs w:val="24"/>
          <w:lang w:val="fr-CA"/>
        </w:rPr>
        <w:t>à titre d’assurés additionnels</w:t>
      </w:r>
      <w:r w:rsidRPr="00986BEB">
        <w:rPr>
          <w:rStyle w:val="FootnoteReference"/>
          <w:rFonts w:eastAsiaTheme="majorEastAsia"/>
          <w:szCs w:val="24"/>
          <w:lang w:val="fr-CA"/>
        </w:rPr>
        <w:footnoteReference w:id="53"/>
      </w:r>
      <w:r w:rsidR="001E0E69">
        <w:rPr>
          <w:szCs w:val="24"/>
          <w:lang w:val="fr-CA"/>
        </w:rPr>
        <w:t>,]</w:t>
      </w:r>
      <w:r w:rsidR="00D7366A" w:rsidRPr="0059083D">
        <w:rPr>
          <w:szCs w:val="24"/>
          <w:lang w:val="fr-CA"/>
        </w:rPr>
        <w:t xml:space="preserve"> </w:t>
      </w:r>
      <w:r w:rsidR="00E67397">
        <w:rPr>
          <w:szCs w:val="24"/>
          <w:lang w:val="fr-CA"/>
        </w:rPr>
        <w:t>et remet</w:t>
      </w:r>
      <w:r w:rsidR="00153B2A">
        <w:rPr>
          <w:szCs w:val="24"/>
          <w:lang w:val="fr-CA"/>
        </w:rPr>
        <w:t>tra</w:t>
      </w:r>
      <w:r w:rsidR="00E67397">
        <w:rPr>
          <w:szCs w:val="24"/>
          <w:lang w:val="fr-CA"/>
        </w:rPr>
        <w:t xml:space="preserve"> </w:t>
      </w:r>
      <w:r w:rsidR="00153B2A">
        <w:rPr>
          <w:szCs w:val="24"/>
          <w:lang w:val="fr-CA"/>
        </w:rPr>
        <w:t>chaque année</w:t>
      </w:r>
      <w:r w:rsidR="00E67397">
        <w:rPr>
          <w:szCs w:val="24"/>
          <w:lang w:val="fr-CA"/>
        </w:rPr>
        <w:t xml:space="preserve"> aux Investisseurs, dans les cent </w:t>
      </w:r>
      <w:r w:rsidR="0059083D">
        <w:rPr>
          <w:snapToGrid w:val="0"/>
          <w:lang w:val="fr-CA"/>
        </w:rPr>
        <w:t>vingt</w:t>
      </w:r>
      <w:r w:rsidRPr="0059083D">
        <w:rPr>
          <w:snapToGrid w:val="0"/>
          <w:lang w:val="fr-CA"/>
        </w:rPr>
        <w:t xml:space="preserve"> (</w:t>
      </w:r>
      <w:r w:rsidRPr="00986BEB">
        <w:rPr>
          <w:snapToGrid w:val="0"/>
          <w:lang w:val="fr-CA"/>
        </w:rPr>
        <w:t>120</w:t>
      </w:r>
      <w:r w:rsidRPr="0059083D">
        <w:rPr>
          <w:snapToGrid w:val="0"/>
          <w:lang w:val="fr-CA"/>
        </w:rPr>
        <w:t>)</w:t>
      </w:r>
      <w:r w:rsidR="0059083D">
        <w:rPr>
          <w:snapToGrid w:val="0"/>
          <w:lang w:val="fr-CA"/>
        </w:rPr>
        <w:t> jours</w:t>
      </w:r>
      <w:r w:rsidRPr="0059083D">
        <w:rPr>
          <w:snapToGrid w:val="0"/>
          <w:lang w:val="fr-CA"/>
        </w:rPr>
        <w:t xml:space="preserve"> </w:t>
      </w:r>
      <w:r w:rsidR="00E67397">
        <w:rPr>
          <w:snapToGrid w:val="0"/>
          <w:lang w:val="fr-CA"/>
        </w:rPr>
        <w:t xml:space="preserve">suivant la fin de chaque exercice </w:t>
      </w:r>
      <w:r w:rsidRPr="0059083D">
        <w:rPr>
          <w:snapToGrid w:val="0"/>
          <w:lang w:val="fr-CA"/>
        </w:rPr>
        <w:t xml:space="preserve">de la Société, </w:t>
      </w:r>
      <w:r w:rsidR="00E67397">
        <w:rPr>
          <w:snapToGrid w:val="0"/>
          <w:lang w:val="fr-CA"/>
        </w:rPr>
        <w:t>une attestation selon laquelle cette police d’assurance demeure en vigueur</w:t>
      </w:r>
      <w:r w:rsidRPr="0059083D">
        <w:rPr>
          <w:snapToGrid w:val="0"/>
          <w:lang w:val="fr-CA"/>
        </w:rPr>
        <w:t>.] [</w:t>
      </w:r>
      <w:r w:rsidR="00E67397">
        <w:rPr>
          <w:snapToGrid w:val="0"/>
          <w:lang w:val="fr-CA"/>
        </w:rPr>
        <w:t>Chaque Porteur clé</w:t>
      </w:r>
      <w:r w:rsidRPr="0059083D">
        <w:rPr>
          <w:snapToGrid w:val="0"/>
          <w:lang w:val="fr-CA"/>
        </w:rPr>
        <w:t xml:space="preserve"> </w:t>
      </w:r>
      <w:r w:rsidR="00E67397">
        <w:rPr>
          <w:snapToGrid w:val="0"/>
          <w:lang w:val="fr-CA"/>
        </w:rPr>
        <w:t>s’engage par les présentes, dans la mesure où il est désigné aux termes d’une telle police d’assurance personne</w:t>
      </w:r>
      <w:r w:rsidR="003B175A">
        <w:rPr>
          <w:snapToGrid w:val="0"/>
          <w:lang w:val="fr-CA"/>
        </w:rPr>
        <w:t xml:space="preserve"> </w:t>
      </w:r>
      <w:r w:rsidR="00E67397">
        <w:rPr>
          <w:snapToGrid w:val="0"/>
          <w:lang w:val="fr-CA"/>
        </w:rPr>
        <w:t>clé</w:t>
      </w:r>
      <w:r w:rsidRPr="0059083D">
        <w:rPr>
          <w:snapToGrid w:val="0"/>
          <w:lang w:val="fr-CA"/>
        </w:rPr>
        <w:t xml:space="preserve">, </w:t>
      </w:r>
      <w:r w:rsidR="00E67397">
        <w:rPr>
          <w:snapToGrid w:val="0"/>
          <w:lang w:val="fr-CA"/>
        </w:rPr>
        <w:t>à signer et à remettre à la Société, si elle le demande raisonnablement, un avis et un formulaire de consentement écrits à l’égard de cette police</w:t>
      </w:r>
      <w:bookmarkStart w:id="323" w:name="_Ref448380723"/>
      <w:r w:rsidRPr="00986BEB">
        <w:rPr>
          <w:rStyle w:val="FootnoteReference"/>
          <w:snapToGrid w:val="0"/>
          <w:lang w:val="fr-CA"/>
        </w:rPr>
        <w:footnoteReference w:id="54"/>
      </w:r>
      <w:bookmarkEnd w:id="323"/>
      <w:r w:rsidR="003821B9">
        <w:rPr>
          <w:snapToGrid w:val="0"/>
          <w:lang w:val="fr-CA"/>
        </w:rPr>
        <w:t>.</w:t>
      </w:r>
      <w:r w:rsidR="003821B9" w:rsidRPr="0059083D">
        <w:rPr>
          <w:snapToGrid w:val="0"/>
          <w:lang w:val="fr-CA"/>
        </w:rPr>
        <w:t>]</w:t>
      </w:r>
    </w:p>
    <w:p w14:paraId="5E4E2E46" w14:textId="315AD5AF" w:rsidR="00037C7E" w:rsidRPr="00986BEB" w:rsidRDefault="00492CAD">
      <w:pPr>
        <w:pStyle w:val="StandardL2"/>
        <w:rPr>
          <w:lang w:val="fr-CA"/>
        </w:rPr>
      </w:pPr>
      <w:bookmarkStart w:id="324" w:name="_Ref448380638"/>
      <w:bookmarkStart w:id="325" w:name="_Toc132874745"/>
      <w:r w:rsidRPr="009D4254">
        <w:rPr>
          <w:lang w:val="fr-CA"/>
        </w:rPr>
        <w:t>Ententes conclues avec les employés</w:t>
      </w:r>
      <w:r w:rsidR="000B08F2" w:rsidRPr="009D4254">
        <w:rPr>
          <w:snapToGrid w:val="0"/>
          <w:lang w:val="fr-CA"/>
        </w:rPr>
        <w:t>.</w:t>
      </w:r>
      <w:bookmarkEnd w:id="324"/>
      <w:bookmarkEnd w:id="325"/>
    </w:p>
    <w:p w14:paraId="7852253E" w14:textId="26357B6C" w:rsidR="00037C7E" w:rsidRPr="0059083D" w:rsidRDefault="00492CAD">
      <w:pPr>
        <w:pStyle w:val="StandardCont2"/>
        <w:rPr>
          <w:lang w:val="fr-CA"/>
        </w:rPr>
      </w:pPr>
      <w:r w:rsidRPr="009D4254">
        <w:rPr>
          <w:szCs w:val="24"/>
          <w:lang w:val="fr-CA"/>
        </w:rPr>
        <w:t xml:space="preserve">Sauf approbation contraire du </w:t>
      </w:r>
      <w:r w:rsidR="000B08F2" w:rsidRPr="009D4254">
        <w:rPr>
          <w:szCs w:val="24"/>
          <w:lang w:val="fr-CA"/>
        </w:rPr>
        <w:t>Conseil d’administration, [</w:t>
      </w:r>
      <w:r w:rsidRPr="009D4254">
        <w:rPr>
          <w:szCs w:val="24"/>
          <w:lang w:val="fr-CA"/>
        </w:rPr>
        <w:t xml:space="preserve">y compris le </w:t>
      </w:r>
      <w:r w:rsidR="00D22551" w:rsidRPr="009D4254">
        <w:rPr>
          <w:szCs w:val="24"/>
          <w:lang w:val="fr-CA"/>
        </w:rPr>
        <w:t>Vote requis des Administrateurs privilégiés</w:t>
      </w:r>
      <w:r w:rsidR="000B08F2" w:rsidRPr="009D4254">
        <w:rPr>
          <w:szCs w:val="24"/>
          <w:lang w:val="fr-CA"/>
        </w:rPr>
        <w:t>,] la Société</w:t>
      </w:r>
      <w:r w:rsidR="0041095D" w:rsidRPr="009D4254">
        <w:rPr>
          <w:snapToGrid w:val="0"/>
          <w:lang w:val="fr-CA"/>
        </w:rPr>
        <w:t xml:space="preserve"> </w:t>
      </w:r>
      <w:r w:rsidRPr="009D4254">
        <w:rPr>
          <w:snapToGrid w:val="0"/>
          <w:lang w:val="fr-CA"/>
        </w:rPr>
        <w:t xml:space="preserve">exigera </w:t>
      </w:r>
      <w:bookmarkStart w:id="326" w:name="DocXTextRef277"/>
      <w:r w:rsidR="0041095D" w:rsidRPr="009D4254">
        <w:rPr>
          <w:snapToGrid w:val="0"/>
          <w:lang w:val="fr-CA"/>
        </w:rPr>
        <w:t>(</w:t>
      </w:r>
      <w:r w:rsidR="0041095D" w:rsidRPr="00986BEB">
        <w:rPr>
          <w:snapToGrid w:val="0"/>
          <w:lang w:val="fr-CA"/>
        </w:rPr>
        <w:t>i</w:t>
      </w:r>
      <w:r w:rsidR="0041095D" w:rsidRPr="009D4254">
        <w:rPr>
          <w:snapToGrid w:val="0"/>
          <w:lang w:val="fr-CA"/>
        </w:rPr>
        <w:t>)</w:t>
      </w:r>
      <w:bookmarkEnd w:id="326"/>
      <w:r w:rsidRPr="009D4254">
        <w:rPr>
          <w:snapToGrid w:val="0"/>
          <w:lang w:val="fr-CA"/>
        </w:rPr>
        <w:t xml:space="preserve"> que chaque Personne qui est </w:t>
      </w:r>
      <w:r w:rsidR="008372F7">
        <w:rPr>
          <w:snapToGrid w:val="0"/>
          <w:lang w:val="fr-CA"/>
        </w:rPr>
        <w:t xml:space="preserve">actuellement ou sera ultérieurement </w:t>
      </w:r>
      <w:r w:rsidRPr="009D4254">
        <w:rPr>
          <w:snapToGrid w:val="0"/>
          <w:lang w:val="fr-CA"/>
        </w:rPr>
        <w:t xml:space="preserve">un employé de la Société ou d’une filiale </w:t>
      </w:r>
      <w:r w:rsidR="0041095D" w:rsidRPr="009D4254">
        <w:rPr>
          <w:snapToGrid w:val="0"/>
          <w:lang w:val="fr-CA"/>
        </w:rPr>
        <w:t>(</w:t>
      </w:r>
      <w:r w:rsidRPr="009D4254">
        <w:rPr>
          <w:snapToGrid w:val="0"/>
          <w:lang w:val="fr-CA"/>
        </w:rPr>
        <w:t xml:space="preserve">ou dont la </w:t>
      </w:r>
      <w:r w:rsidR="000B08F2" w:rsidRPr="009D4254">
        <w:rPr>
          <w:snapToGrid w:val="0"/>
          <w:lang w:val="fr-CA"/>
        </w:rPr>
        <w:t>Société</w:t>
      </w:r>
      <w:r w:rsidR="0041095D" w:rsidRPr="009D4254">
        <w:rPr>
          <w:snapToGrid w:val="0"/>
          <w:lang w:val="fr-CA"/>
        </w:rPr>
        <w:t xml:space="preserve"> </w:t>
      </w:r>
      <w:r w:rsidRPr="009D4254">
        <w:rPr>
          <w:snapToGrid w:val="0"/>
          <w:lang w:val="fr-CA"/>
        </w:rPr>
        <w:t>ou une filiale retient les services à titre de consultant ou d’entrepreneur indépendant</w:t>
      </w:r>
      <w:r w:rsidR="0041095D" w:rsidRPr="009D4254">
        <w:rPr>
          <w:snapToGrid w:val="0"/>
          <w:lang w:val="fr-CA"/>
        </w:rPr>
        <w:t>)</w:t>
      </w:r>
      <w:r w:rsidRPr="009D4254">
        <w:rPr>
          <w:snapToGrid w:val="0"/>
          <w:lang w:val="fr-CA"/>
        </w:rPr>
        <w:t xml:space="preserve"> et qui a accès à des renseignements confidentiels </w:t>
      </w:r>
      <w:r w:rsidR="000B08F2" w:rsidRPr="009D4254">
        <w:rPr>
          <w:snapToGrid w:val="0"/>
          <w:lang w:val="fr-CA"/>
        </w:rPr>
        <w:t xml:space="preserve">et/ou </w:t>
      </w:r>
      <w:r w:rsidRPr="009D4254">
        <w:rPr>
          <w:snapToGrid w:val="0"/>
          <w:lang w:val="fr-CA"/>
        </w:rPr>
        <w:t>à des secrets commerciaux conclue une entente de confidentialité, de cession de droits de propriété et de non-sollicitation</w:t>
      </w:r>
      <w:r w:rsidR="0041095D" w:rsidRPr="009D4254">
        <w:rPr>
          <w:snapToGrid w:val="0"/>
          <w:lang w:val="fr-CA"/>
        </w:rPr>
        <w:t xml:space="preserve">[; </w:t>
      </w:r>
      <w:r w:rsidRPr="009D4254">
        <w:rPr>
          <w:snapToGrid w:val="0"/>
          <w:lang w:val="fr-CA"/>
        </w:rPr>
        <w:t>et</w:t>
      </w:r>
      <w:r w:rsidR="0041095D" w:rsidRPr="009D4254">
        <w:rPr>
          <w:snapToGrid w:val="0"/>
          <w:lang w:val="fr-CA"/>
        </w:rPr>
        <w:t xml:space="preserve"> </w:t>
      </w:r>
      <w:bookmarkStart w:id="327" w:name="DocXTextRef278"/>
      <w:r w:rsidR="0041095D" w:rsidRPr="009D4254">
        <w:rPr>
          <w:snapToGrid w:val="0"/>
          <w:lang w:val="fr-CA"/>
        </w:rPr>
        <w:t>(</w:t>
      </w:r>
      <w:r w:rsidR="0041095D" w:rsidRPr="00986BEB">
        <w:rPr>
          <w:snapToGrid w:val="0"/>
          <w:lang w:val="fr-CA"/>
        </w:rPr>
        <w:t>ii</w:t>
      </w:r>
      <w:r w:rsidR="0041095D" w:rsidRPr="009D4254">
        <w:rPr>
          <w:snapToGrid w:val="0"/>
          <w:lang w:val="fr-CA"/>
        </w:rPr>
        <w:t>)</w:t>
      </w:r>
      <w:bookmarkEnd w:id="327"/>
      <w:r w:rsidRPr="009D4254">
        <w:rPr>
          <w:snapToGrid w:val="0"/>
          <w:lang w:val="fr-CA"/>
        </w:rPr>
        <w:t xml:space="preserve"> que chaque Employé clé conclue une entente de non-concurrence </w:t>
      </w:r>
      <w:r w:rsidR="00DD2213">
        <w:rPr>
          <w:snapToGrid w:val="0"/>
          <w:lang w:val="fr-CA"/>
        </w:rPr>
        <w:t>rédigée</w:t>
      </w:r>
      <w:r w:rsidRPr="009D4254">
        <w:rPr>
          <w:snapToGrid w:val="0"/>
          <w:lang w:val="fr-CA"/>
        </w:rPr>
        <w:t xml:space="preserve"> avec l’aide d’un conseiller juridique</w:t>
      </w:r>
      <w:bookmarkStart w:id="328" w:name="_Ref448380724"/>
      <w:r w:rsidR="000B08F2" w:rsidRPr="00986BEB">
        <w:rPr>
          <w:rStyle w:val="FootnoteReference"/>
          <w:snapToGrid w:val="0"/>
          <w:lang w:val="fr-CA"/>
        </w:rPr>
        <w:footnoteReference w:id="55"/>
      </w:r>
      <w:bookmarkEnd w:id="328"/>
      <w:r w:rsidR="00376539">
        <w:rPr>
          <w:snapToGrid w:val="0"/>
          <w:lang w:val="fr-CA"/>
        </w:rPr>
        <w:t>]</w:t>
      </w:r>
      <w:r>
        <w:rPr>
          <w:snapToGrid w:val="0"/>
          <w:lang w:val="fr-CA"/>
        </w:rPr>
        <w:t>.</w:t>
      </w:r>
      <w:r w:rsidR="001B71F8" w:rsidRPr="0059083D">
        <w:rPr>
          <w:snapToGrid w:val="0"/>
          <w:lang w:val="fr-CA"/>
        </w:rPr>
        <w:t xml:space="preserve"> </w:t>
      </w:r>
      <w:r w:rsidRPr="00492CAD">
        <w:rPr>
          <w:snapToGrid w:val="0"/>
          <w:lang w:val="fr-CA"/>
        </w:rPr>
        <w:t xml:space="preserve">En outre, la Société ne peut modifier l’une des ententes susmentionnées ou toute convention d’actions de négociation restreinte intervenue entre la Société et </w:t>
      </w:r>
      <w:r w:rsidR="00376539">
        <w:rPr>
          <w:snapToGrid w:val="0"/>
          <w:lang w:val="fr-CA"/>
        </w:rPr>
        <w:t>un</w:t>
      </w:r>
      <w:r w:rsidRPr="00492CAD">
        <w:rPr>
          <w:snapToGrid w:val="0"/>
          <w:lang w:val="fr-CA"/>
        </w:rPr>
        <w:t xml:space="preserve"> employé, ni la résilier</w:t>
      </w:r>
      <w:r w:rsidR="00DD2213">
        <w:rPr>
          <w:snapToGrid w:val="0"/>
          <w:lang w:val="fr-CA"/>
        </w:rPr>
        <w:t xml:space="preserve"> ou</w:t>
      </w:r>
      <w:r w:rsidRPr="00492CAD">
        <w:rPr>
          <w:snapToGrid w:val="0"/>
          <w:lang w:val="fr-CA"/>
        </w:rPr>
        <w:t xml:space="preserve"> y renoncer, en totalité ou en partie, sans le consentement du </w:t>
      </w:r>
      <w:r w:rsidR="000B08F2" w:rsidRPr="00492CAD">
        <w:rPr>
          <w:snapToGrid w:val="0"/>
          <w:lang w:val="fr-CA"/>
        </w:rPr>
        <w:t>Conseil</w:t>
      </w:r>
      <w:r w:rsidR="000B08F2" w:rsidRPr="009D4254">
        <w:rPr>
          <w:szCs w:val="24"/>
          <w:lang w:val="fr-CA"/>
        </w:rPr>
        <w:t xml:space="preserve"> d’administration</w:t>
      </w:r>
      <w:r w:rsidR="001B71F8" w:rsidRPr="009D4254">
        <w:rPr>
          <w:szCs w:val="24"/>
          <w:lang w:val="fr-CA"/>
        </w:rPr>
        <w:t xml:space="preserve">[, </w:t>
      </w:r>
      <w:r w:rsidRPr="009D4254">
        <w:rPr>
          <w:szCs w:val="24"/>
          <w:lang w:val="fr-CA"/>
        </w:rPr>
        <w:t xml:space="preserve">y compris le </w:t>
      </w:r>
      <w:r w:rsidR="00D22551" w:rsidRPr="009D4254">
        <w:rPr>
          <w:szCs w:val="24"/>
          <w:lang w:val="fr-CA"/>
        </w:rPr>
        <w:t>Vote requis des Administrateurs privilégiés</w:t>
      </w:r>
      <w:r w:rsidR="001B71F8" w:rsidRPr="009D4254">
        <w:rPr>
          <w:szCs w:val="24"/>
          <w:lang w:val="fr-CA"/>
        </w:rPr>
        <w:t>]</w:t>
      </w:r>
      <w:r w:rsidR="0041095D" w:rsidRPr="009D4254">
        <w:rPr>
          <w:snapToGrid w:val="0"/>
          <w:lang w:val="fr-CA"/>
        </w:rPr>
        <w:t>.</w:t>
      </w:r>
    </w:p>
    <w:p w14:paraId="026BB85C" w14:textId="2B4FCC84" w:rsidR="00037C7E" w:rsidRPr="00986BEB" w:rsidRDefault="004E1041">
      <w:pPr>
        <w:pStyle w:val="StandardL2"/>
        <w:rPr>
          <w:lang w:val="fr-CA"/>
        </w:rPr>
      </w:pPr>
      <w:bookmarkStart w:id="329" w:name="_Ref448380639"/>
      <w:bookmarkStart w:id="330" w:name="_Toc132874746"/>
      <w:r w:rsidRPr="009D4254">
        <w:rPr>
          <w:lang w:val="fr-CA"/>
        </w:rPr>
        <w:t>Actions des employés</w:t>
      </w:r>
      <w:r w:rsidR="000B08F2" w:rsidRPr="009D4254">
        <w:rPr>
          <w:snapToGrid w:val="0"/>
          <w:lang w:val="fr-CA"/>
        </w:rPr>
        <w:t>.</w:t>
      </w:r>
      <w:bookmarkEnd w:id="329"/>
      <w:bookmarkEnd w:id="330"/>
    </w:p>
    <w:p w14:paraId="798C4635" w14:textId="2A514F94" w:rsidR="00037C7E" w:rsidRPr="0059083D" w:rsidRDefault="004E1041">
      <w:pPr>
        <w:pStyle w:val="StandardCont2"/>
        <w:rPr>
          <w:lang w:val="fr-CA"/>
        </w:rPr>
      </w:pPr>
      <w:r w:rsidRPr="009D4254">
        <w:rPr>
          <w:snapToGrid w:val="0"/>
          <w:lang w:val="fr-CA"/>
        </w:rPr>
        <w:t xml:space="preserve">Sauf approbation contraire du </w:t>
      </w:r>
      <w:r w:rsidR="000B08F2" w:rsidRPr="009D4254">
        <w:rPr>
          <w:snapToGrid w:val="0"/>
          <w:lang w:val="fr-CA"/>
        </w:rPr>
        <w:t xml:space="preserve">Conseil d’administration, </w:t>
      </w:r>
      <w:r w:rsidR="001B71F8" w:rsidRPr="009D4254">
        <w:rPr>
          <w:szCs w:val="24"/>
          <w:lang w:val="fr-CA"/>
        </w:rPr>
        <w:t>[</w:t>
      </w:r>
      <w:r w:rsidRPr="009D4254">
        <w:rPr>
          <w:szCs w:val="24"/>
          <w:lang w:val="fr-CA"/>
        </w:rPr>
        <w:t xml:space="preserve">y compris le </w:t>
      </w:r>
      <w:r w:rsidR="00D22551" w:rsidRPr="009D4254">
        <w:rPr>
          <w:szCs w:val="24"/>
          <w:lang w:val="fr-CA"/>
        </w:rPr>
        <w:t>Vote requis des Administrateurs privilégiés</w:t>
      </w:r>
      <w:r w:rsidR="001B71F8" w:rsidRPr="009D4254">
        <w:rPr>
          <w:szCs w:val="24"/>
          <w:lang w:val="fr-CA"/>
        </w:rPr>
        <w:t xml:space="preserve">,] </w:t>
      </w:r>
      <w:r w:rsidRPr="009D4254">
        <w:rPr>
          <w:szCs w:val="24"/>
          <w:lang w:val="fr-CA"/>
        </w:rPr>
        <w:t xml:space="preserve">tous les employés </w:t>
      </w:r>
      <w:r w:rsidR="001B71F8" w:rsidRPr="009D4254">
        <w:rPr>
          <w:snapToGrid w:val="0"/>
          <w:lang w:val="fr-CA"/>
        </w:rPr>
        <w:t>[futur</w:t>
      </w:r>
      <w:r w:rsidRPr="009D4254">
        <w:rPr>
          <w:snapToGrid w:val="0"/>
          <w:lang w:val="fr-CA"/>
        </w:rPr>
        <w:t>s</w:t>
      </w:r>
      <w:r w:rsidR="000B08F2" w:rsidRPr="00986BEB">
        <w:rPr>
          <w:rStyle w:val="FootnoteReference"/>
          <w:snapToGrid w:val="0"/>
          <w:lang w:val="fr-CA"/>
        </w:rPr>
        <w:footnoteReference w:id="56"/>
      </w:r>
      <w:r w:rsidR="00EB1CF4">
        <w:rPr>
          <w:snapToGrid w:val="0"/>
          <w:lang w:val="fr-CA"/>
        </w:rPr>
        <w:t>]</w:t>
      </w:r>
      <w:r w:rsidR="000B08F2" w:rsidRPr="009D4254">
        <w:rPr>
          <w:snapToGrid w:val="0"/>
          <w:lang w:val="fr-CA"/>
        </w:rPr>
        <w:t xml:space="preserve"> de la Société </w:t>
      </w:r>
      <w:r w:rsidRPr="009D4254">
        <w:rPr>
          <w:snapToGrid w:val="0"/>
          <w:lang w:val="fr-CA"/>
        </w:rPr>
        <w:t xml:space="preserve">qui achètent des actions du capital de la Société ou qui reçoivent des options d’achat </w:t>
      </w:r>
      <w:r w:rsidR="00DD2213">
        <w:rPr>
          <w:snapToGrid w:val="0"/>
          <w:lang w:val="fr-CA"/>
        </w:rPr>
        <w:t xml:space="preserve">d’actions </w:t>
      </w:r>
      <w:r w:rsidRPr="009D4254">
        <w:rPr>
          <w:snapToGrid w:val="0"/>
          <w:lang w:val="fr-CA"/>
        </w:rPr>
        <w:t xml:space="preserve">ou des attributions d’actions du </w:t>
      </w:r>
      <w:r w:rsidR="000B08F2" w:rsidRPr="009D4254">
        <w:rPr>
          <w:snapToGrid w:val="0"/>
          <w:lang w:val="fr-CA"/>
        </w:rPr>
        <w:t xml:space="preserve">capital de la Société </w:t>
      </w:r>
      <w:r w:rsidRPr="009D4254">
        <w:rPr>
          <w:snapToGrid w:val="0"/>
          <w:lang w:val="fr-CA"/>
        </w:rPr>
        <w:t xml:space="preserve">après la date des présentes doivent signer des conventions d’actions de négociation restreinte ou des conventions d’options, selon le cas, prévoyant </w:t>
      </w:r>
      <w:bookmarkStart w:id="331" w:name="DocXTextRef280"/>
      <w:r w:rsidR="000B08F2" w:rsidRPr="009D4254">
        <w:rPr>
          <w:snapToGrid w:val="0"/>
          <w:lang w:val="fr-CA"/>
        </w:rPr>
        <w:t>(</w:t>
      </w:r>
      <w:r w:rsidR="000B08F2" w:rsidRPr="00986BEB">
        <w:rPr>
          <w:snapToGrid w:val="0"/>
          <w:lang w:val="fr-CA"/>
        </w:rPr>
        <w:t>i</w:t>
      </w:r>
      <w:r w:rsidR="000B08F2" w:rsidRPr="009D4254">
        <w:rPr>
          <w:snapToGrid w:val="0"/>
          <w:lang w:val="fr-CA"/>
        </w:rPr>
        <w:t>)</w:t>
      </w:r>
      <w:bookmarkEnd w:id="331"/>
      <w:r w:rsidRPr="009D4254">
        <w:rPr>
          <w:snapToGrid w:val="0"/>
          <w:lang w:val="fr-CA"/>
        </w:rPr>
        <w:t xml:space="preserve"> l’acquisition des </w:t>
      </w:r>
      <w:r w:rsidR="00EB1CF4">
        <w:rPr>
          <w:snapToGrid w:val="0"/>
          <w:lang w:val="fr-CA"/>
        </w:rPr>
        <w:t xml:space="preserve">droits rattachés aux </w:t>
      </w:r>
      <w:r w:rsidRPr="009D4254">
        <w:rPr>
          <w:snapToGrid w:val="0"/>
          <w:lang w:val="fr-CA"/>
        </w:rPr>
        <w:t xml:space="preserve">actions sur une période de </w:t>
      </w:r>
      <w:r w:rsidR="000B08F2" w:rsidRPr="009D4254">
        <w:rPr>
          <w:snapToGrid w:val="0"/>
          <w:lang w:val="fr-CA"/>
        </w:rPr>
        <w:t>[</w:t>
      </w:r>
      <w:r w:rsidRPr="009D4254">
        <w:rPr>
          <w:snapToGrid w:val="0"/>
          <w:lang w:val="fr-CA"/>
        </w:rPr>
        <w:t xml:space="preserve">quatre </w:t>
      </w:r>
      <w:r w:rsidR="000B08F2" w:rsidRPr="009D4254">
        <w:rPr>
          <w:snapToGrid w:val="0"/>
          <w:lang w:val="fr-CA"/>
        </w:rPr>
        <w:t>(</w:t>
      </w:r>
      <w:r w:rsidR="000B08F2" w:rsidRPr="00986BEB">
        <w:rPr>
          <w:snapToGrid w:val="0"/>
          <w:lang w:val="fr-CA"/>
        </w:rPr>
        <w:t>4</w:t>
      </w:r>
      <w:r w:rsidR="000B08F2" w:rsidRPr="009D4254">
        <w:rPr>
          <w:snapToGrid w:val="0"/>
          <w:lang w:val="fr-CA"/>
        </w:rPr>
        <w:t>)]</w:t>
      </w:r>
      <w:r w:rsidRPr="009D4254">
        <w:rPr>
          <w:snapToGrid w:val="0"/>
          <w:lang w:val="fr-CA"/>
        </w:rPr>
        <w:t> ans</w:t>
      </w:r>
      <w:r w:rsidR="000B08F2" w:rsidRPr="009D4254">
        <w:rPr>
          <w:snapToGrid w:val="0"/>
          <w:lang w:val="fr-CA"/>
        </w:rPr>
        <w:t xml:space="preserve">, </w:t>
      </w:r>
      <w:r w:rsidR="00EB1CF4">
        <w:rPr>
          <w:snapToGrid w:val="0"/>
          <w:lang w:val="fr-CA"/>
        </w:rPr>
        <w:t xml:space="preserve">les droits rattachés à </w:t>
      </w:r>
      <w:r w:rsidRPr="009D4254">
        <w:rPr>
          <w:snapToGrid w:val="0"/>
          <w:lang w:val="fr-CA"/>
        </w:rPr>
        <w:t xml:space="preserve">la première tranche </w:t>
      </w:r>
      <w:r w:rsidR="000B08F2" w:rsidRPr="009D4254">
        <w:rPr>
          <w:snapToGrid w:val="0"/>
          <w:lang w:val="fr-CA"/>
        </w:rPr>
        <w:t>[</w:t>
      </w:r>
      <w:r w:rsidRPr="009D4254">
        <w:rPr>
          <w:snapToGrid w:val="0"/>
          <w:lang w:val="fr-CA"/>
        </w:rPr>
        <w:t xml:space="preserve">de </w:t>
      </w:r>
      <w:r w:rsidR="0059083D" w:rsidRPr="009D4254">
        <w:rPr>
          <w:snapToGrid w:val="0"/>
          <w:lang w:val="fr-CA"/>
        </w:rPr>
        <w:t>vingt</w:t>
      </w:r>
      <w:r w:rsidR="00EB1CF4">
        <w:rPr>
          <w:snapToGrid w:val="0"/>
          <w:lang w:val="fr-CA"/>
        </w:rPr>
        <w:noBreakHyphen/>
      </w:r>
      <w:r w:rsidRPr="009D4254">
        <w:rPr>
          <w:snapToGrid w:val="0"/>
          <w:lang w:val="fr-CA"/>
        </w:rPr>
        <w:t xml:space="preserve">cinq pour cent </w:t>
      </w:r>
      <w:r w:rsidR="000B08F2" w:rsidRPr="009D4254">
        <w:rPr>
          <w:snapToGrid w:val="0"/>
          <w:lang w:val="fr-CA"/>
        </w:rPr>
        <w:t>(</w:t>
      </w:r>
      <w:r w:rsidR="000B08F2" w:rsidRPr="00986BEB">
        <w:rPr>
          <w:snapToGrid w:val="0"/>
          <w:lang w:val="fr-CA"/>
        </w:rPr>
        <w:t>25</w:t>
      </w:r>
      <w:r w:rsidRPr="009D4254">
        <w:rPr>
          <w:snapToGrid w:val="0"/>
          <w:lang w:val="fr-CA"/>
        </w:rPr>
        <w:t> </w:t>
      </w:r>
      <w:r w:rsidR="000B08F2" w:rsidRPr="009D4254">
        <w:rPr>
          <w:snapToGrid w:val="0"/>
          <w:lang w:val="fr-CA"/>
        </w:rPr>
        <w:t xml:space="preserve">%)] </w:t>
      </w:r>
      <w:r w:rsidRPr="009D4254">
        <w:rPr>
          <w:snapToGrid w:val="0"/>
          <w:lang w:val="fr-CA"/>
        </w:rPr>
        <w:t xml:space="preserve">de ces actions étant acquis après </w:t>
      </w:r>
      <w:r w:rsidR="000B08F2" w:rsidRPr="009D4254">
        <w:rPr>
          <w:snapToGrid w:val="0"/>
          <w:lang w:val="fr-CA"/>
        </w:rPr>
        <w:t>[</w:t>
      </w:r>
      <w:r w:rsidRPr="009D4254">
        <w:rPr>
          <w:snapToGrid w:val="0"/>
          <w:lang w:val="fr-CA"/>
        </w:rPr>
        <w:t xml:space="preserve">douze </w:t>
      </w:r>
      <w:r w:rsidR="000B08F2" w:rsidRPr="009D4254">
        <w:rPr>
          <w:snapToGrid w:val="0"/>
          <w:lang w:val="fr-CA"/>
        </w:rPr>
        <w:t>(</w:t>
      </w:r>
      <w:r w:rsidR="000B08F2" w:rsidRPr="00986BEB">
        <w:rPr>
          <w:snapToGrid w:val="0"/>
          <w:lang w:val="fr-CA"/>
        </w:rPr>
        <w:t>12</w:t>
      </w:r>
      <w:r w:rsidR="000B08F2" w:rsidRPr="009D4254">
        <w:rPr>
          <w:snapToGrid w:val="0"/>
          <w:lang w:val="fr-CA"/>
        </w:rPr>
        <w:t>)]</w:t>
      </w:r>
      <w:r w:rsidRPr="009D4254">
        <w:rPr>
          <w:snapToGrid w:val="0"/>
          <w:lang w:val="fr-CA"/>
        </w:rPr>
        <w:t> mois d’emploi ou de service continu</w:t>
      </w:r>
      <w:r w:rsidR="000B08F2" w:rsidRPr="009D4254">
        <w:rPr>
          <w:snapToGrid w:val="0"/>
          <w:lang w:val="fr-CA"/>
        </w:rPr>
        <w:t xml:space="preserve">, </w:t>
      </w:r>
      <w:r w:rsidRPr="009D4254">
        <w:rPr>
          <w:snapToGrid w:val="0"/>
          <w:lang w:val="fr-CA"/>
        </w:rPr>
        <w:t xml:space="preserve">et les </w:t>
      </w:r>
      <w:r w:rsidR="00EB1CF4">
        <w:rPr>
          <w:snapToGrid w:val="0"/>
          <w:lang w:val="fr-CA"/>
        </w:rPr>
        <w:t xml:space="preserve">droits rattachés aux </w:t>
      </w:r>
      <w:r w:rsidRPr="009D4254">
        <w:rPr>
          <w:snapToGrid w:val="0"/>
          <w:lang w:val="fr-CA"/>
        </w:rPr>
        <w:t xml:space="preserve">actions restantes étant acquis en tranches </w:t>
      </w:r>
      <w:r w:rsidR="00EB1CF4" w:rsidRPr="009D4254">
        <w:rPr>
          <w:snapToGrid w:val="0"/>
          <w:lang w:val="fr-CA"/>
        </w:rPr>
        <w:t xml:space="preserve">[mensuelles] </w:t>
      </w:r>
      <w:r w:rsidRPr="009D4254">
        <w:rPr>
          <w:snapToGrid w:val="0"/>
          <w:lang w:val="fr-CA"/>
        </w:rPr>
        <w:t xml:space="preserve">égales sur les </w:t>
      </w:r>
      <w:r w:rsidR="000B08F2" w:rsidRPr="009D4254">
        <w:rPr>
          <w:snapToGrid w:val="0"/>
          <w:lang w:val="fr-CA"/>
        </w:rPr>
        <w:t>[</w:t>
      </w:r>
      <w:r w:rsidR="0059083D" w:rsidRPr="009D4254">
        <w:rPr>
          <w:snapToGrid w:val="0"/>
          <w:lang w:val="fr-CA"/>
        </w:rPr>
        <w:t>trente</w:t>
      </w:r>
      <w:r w:rsidR="000B08F2" w:rsidRPr="009D4254">
        <w:rPr>
          <w:snapToGrid w:val="0"/>
          <w:lang w:val="fr-CA"/>
        </w:rPr>
        <w:t>-six (</w:t>
      </w:r>
      <w:r w:rsidR="000B08F2" w:rsidRPr="00986BEB">
        <w:rPr>
          <w:snapToGrid w:val="0"/>
          <w:lang w:val="fr-CA"/>
        </w:rPr>
        <w:t>36</w:t>
      </w:r>
      <w:r w:rsidR="000B08F2" w:rsidRPr="009D4254">
        <w:rPr>
          <w:snapToGrid w:val="0"/>
          <w:lang w:val="fr-CA"/>
        </w:rPr>
        <w:t>)</w:t>
      </w:r>
      <w:r w:rsidRPr="009D4254">
        <w:rPr>
          <w:snapToGrid w:val="0"/>
          <w:lang w:val="fr-CA"/>
        </w:rPr>
        <w:t> mois</w:t>
      </w:r>
      <w:r w:rsidR="000B08F2" w:rsidRPr="009D4254">
        <w:rPr>
          <w:snapToGrid w:val="0"/>
          <w:lang w:val="fr-CA"/>
        </w:rPr>
        <w:t>]</w:t>
      </w:r>
      <w:r w:rsidRPr="009D4254">
        <w:rPr>
          <w:snapToGrid w:val="0"/>
          <w:lang w:val="fr-CA"/>
        </w:rPr>
        <w:t xml:space="preserve"> suivants</w:t>
      </w:r>
      <w:r w:rsidR="000B08F2" w:rsidRPr="009D4254">
        <w:rPr>
          <w:snapToGrid w:val="0"/>
          <w:lang w:val="fr-CA"/>
        </w:rPr>
        <w:t xml:space="preserve">, </w:t>
      </w:r>
      <w:r w:rsidRPr="009D4254">
        <w:rPr>
          <w:snapToGrid w:val="0"/>
          <w:lang w:val="fr-CA"/>
        </w:rPr>
        <w:t xml:space="preserve">et </w:t>
      </w:r>
      <w:bookmarkStart w:id="332" w:name="DocXTextRef281"/>
      <w:r w:rsidR="000B08F2" w:rsidRPr="009D4254">
        <w:rPr>
          <w:snapToGrid w:val="0"/>
          <w:lang w:val="fr-CA"/>
        </w:rPr>
        <w:t>(</w:t>
      </w:r>
      <w:r w:rsidR="000B08F2" w:rsidRPr="00986BEB">
        <w:rPr>
          <w:snapToGrid w:val="0"/>
          <w:lang w:val="fr-CA"/>
        </w:rPr>
        <w:t>ii</w:t>
      </w:r>
      <w:r w:rsidR="000B08F2" w:rsidRPr="009D4254">
        <w:rPr>
          <w:snapToGrid w:val="0"/>
          <w:lang w:val="fr-CA"/>
        </w:rPr>
        <w:t>)</w:t>
      </w:r>
      <w:bookmarkEnd w:id="332"/>
      <w:r w:rsidRPr="009D4254">
        <w:rPr>
          <w:snapToGrid w:val="0"/>
          <w:lang w:val="fr-CA"/>
        </w:rPr>
        <w:t xml:space="preserve"> une disposition de </w:t>
      </w:r>
      <w:r w:rsidRPr="0059083D">
        <w:rPr>
          <w:lang w:val="fr-CA"/>
        </w:rPr>
        <w:t>restriction de la négociation sur le marché</w:t>
      </w:r>
      <w:r>
        <w:rPr>
          <w:lang w:val="fr-CA"/>
        </w:rPr>
        <w:t xml:space="preserve"> semblable pour l’essentiel à celle prévue au </w:t>
      </w:r>
      <w:r w:rsidR="002A0F83" w:rsidRPr="009D4254">
        <w:rPr>
          <w:snapToGrid w:val="0"/>
          <w:szCs w:val="16"/>
          <w:u w:val="single"/>
          <w:lang w:val="fr-CA"/>
        </w:rPr>
        <w:t>paragraphe </w:t>
      </w:r>
      <w:r w:rsidR="000B08F2" w:rsidRPr="00986BEB">
        <w:rPr>
          <w:snapToGrid w:val="0"/>
          <w:szCs w:val="16"/>
          <w:u w:val="single"/>
          <w:lang w:val="fr-CA"/>
        </w:rPr>
        <w:fldChar w:fldCharType="begin"/>
      </w:r>
      <w:r w:rsidR="000B08F2" w:rsidRPr="00986BEB">
        <w:rPr>
          <w:snapToGrid w:val="0"/>
          <w:szCs w:val="16"/>
          <w:u w:val="single"/>
          <w:lang w:val="fr-CA"/>
        </w:rPr>
        <w:instrText xml:space="preserve">  REF _Ref448380587 \w \h \* MERGEFORMAT </w:instrText>
      </w:r>
      <w:r w:rsidR="000B08F2" w:rsidRPr="00986BEB">
        <w:rPr>
          <w:snapToGrid w:val="0"/>
          <w:szCs w:val="16"/>
          <w:u w:val="single"/>
          <w:lang w:val="fr-CA"/>
        </w:rPr>
      </w:r>
      <w:r w:rsidR="000B08F2" w:rsidRPr="00986BEB">
        <w:rPr>
          <w:snapToGrid w:val="0"/>
          <w:szCs w:val="16"/>
          <w:u w:val="single"/>
          <w:lang w:val="fr-CA"/>
        </w:rPr>
        <w:fldChar w:fldCharType="separate"/>
      </w:r>
      <w:r w:rsidR="00AE1D96" w:rsidRPr="00AE1D96">
        <w:rPr>
          <w:snapToGrid w:val="0"/>
          <w:color w:val="000000"/>
          <w:szCs w:val="16"/>
          <w:u w:val="single"/>
          <w:lang w:val="fr-CA"/>
        </w:rPr>
        <w:t>2.11</w:t>
      </w:r>
      <w:r w:rsidR="000B08F2" w:rsidRPr="00986BEB">
        <w:rPr>
          <w:snapToGrid w:val="0"/>
          <w:szCs w:val="16"/>
          <w:u w:val="single"/>
          <w:lang w:val="fr-CA"/>
        </w:rPr>
        <w:fldChar w:fldCharType="end"/>
      </w:r>
      <w:r w:rsidR="00EA24FA" w:rsidRPr="009D4254">
        <w:rPr>
          <w:snapToGrid w:val="0"/>
          <w:szCs w:val="16"/>
          <w:lang w:val="fr-CA"/>
        </w:rPr>
        <w:t>.</w:t>
      </w:r>
      <w:r w:rsidR="00EA24FA" w:rsidRPr="0059083D">
        <w:rPr>
          <w:snapToGrid w:val="0"/>
          <w:szCs w:val="16"/>
          <w:lang w:val="fr-CA"/>
        </w:rPr>
        <w:t xml:space="preserve"> </w:t>
      </w:r>
      <w:r>
        <w:rPr>
          <w:snapToGrid w:val="0"/>
          <w:szCs w:val="16"/>
          <w:lang w:val="fr-CA"/>
        </w:rPr>
        <w:t xml:space="preserve">Sans l’approbation préalable du </w:t>
      </w:r>
      <w:r w:rsidR="000B08F2" w:rsidRPr="0059083D">
        <w:rPr>
          <w:snapToGrid w:val="0"/>
          <w:szCs w:val="16"/>
          <w:lang w:val="fr-CA"/>
        </w:rPr>
        <w:t>Conseil d’administration</w:t>
      </w:r>
      <w:r w:rsidR="00EA24FA" w:rsidRPr="0059083D">
        <w:rPr>
          <w:snapToGrid w:val="0"/>
          <w:szCs w:val="16"/>
          <w:lang w:val="fr-CA"/>
        </w:rPr>
        <w:t>, [</w:t>
      </w:r>
      <w:r>
        <w:rPr>
          <w:snapToGrid w:val="0"/>
          <w:szCs w:val="16"/>
          <w:lang w:val="fr-CA"/>
        </w:rPr>
        <w:t xml:space="preserve">y compris le </w:t>
      </w:r>
      <w:r w:rsidR="00D22551" w:rsidRPr="0059083D">
        <w:rPr>
          <w:szCs w:val="24"/>
          <w:lang w:val="fr-CA"/>
        </w:rPr>
        <w:t>Vote requis des Administrateurs privilégiés</w:t>
      </w:r>
      <w:r w:rsidR="00F315A0" w:rsidRPr="0059083D">
        <w:rPr>
          <w:snapToGrid w:val="0"/>
          <w:szCs w:val="16"/>
          <w:lang w:val="fr-CA"/>
        </w:rPr>
        <w:t xml:space="preserve">,] </w:t>
      </w:r>
      <w:r w:rsidR="000B08F2" w:rsidRPr="0059083D">
        <w:rPr>
          <w:snapToGrid w:val="0"/>
          <w:szCs w:val="16"/>
          <w:lang w:val="fr-CA"/>
        </w:rPr>
        <w:t>la Société</w:t>
      </w:r>
      <w:r w:rsidR="00F315A0" w:rsidRPr="0059083D">
        <w:rPr>
          <w:snapToGrid w:val="0"/>
          <w:szCs w:val="16"/>
          <w:lang w:val="fr-CA"/>
        </w:rPr>
        <w:t xml:space="preserve"> </w:t>
      </w:r>
      <w:r>
        <w:rPr>
          <w:snapToGrid w:val="0"/>
          <w:szCs w:val="16"/>
          <w:lang w:val="fr-CA"/>
        </w:rPr>
        <w:t xml:space="preserve">ne peut modifier une convention d’achat d’actions, d’actions de négociation restreinte ou d’options conclue avec un employé ou un fournisseur de services existant, ni </w:t>
      </w:r>
      <w:r w:rsidRPr="00492CAD">
        <w:rPr>
          <w:snapToGrid w:val="0"/>
          <w:lang w:val="fr-CA"/>
        </w:rPr>
        <w:t>la résilier</w:t>
      </w:r>
      <w:r w:rsidR="00DD2213">
        <w:rPr>
          <w:snapToGrid w:val="0"/>
          <w:lang w:val="fr-CA"/>
        </w:rPr>
        <w:t xml:space="preserve"> ou</w:t>
      </w:r>
      <w:r w:rsidRPr="00492CAD">
        <w:rPr>
          <w:snapToGrid w:val="0"/>
          <w:lang w:val="fr-CA"/>
        </w:rPr>
        <w:t xml:space="preserve"> y renoncer, en totalité ou en partie, </w:t>
      </w:r>
      <w:r>
        <w:rPr>
          <w:snapToGrid w:val="0"/>
          <w:lang w:val="fr-CA"/>
        </w:rPr>
        <w:t xml:space="preserve">si une telle modification devait rendre cette convention incompatible avec le </w:t>
      </w:r>
      <w:r w:rsidR="0059083D">
        <w:rPr>
          <w:snapToGrid w:val="0"/>
          <w:szCs w:val="16"/>
          <w:lang w:val="fr-CA"/>
        </w:rPr>
        <w:t>présent</w:t>
      </w:r>
      <w:r w:rsidR="00F315A0" w:rsidRPr="0059083D">
        <w:rPr>
          <w:snapToGrid w:val="0"/>
          <w:szCs w:val="16"/>
          <w:lang w:val="fr-CA"/>
        </w:rPr>
        <w:t xml:space="preserve"> </w:t>
      </w:r>
      <w:r w:rsidR="002A0F83" w:rsidRPr="0059083D">
        <w:rPr>
          <w:snapToGrid w:val="0"/>
          <w:szCs w:val="16"/>
          <w:u w:val="single"/>
          <w:lang w:val="fr-CA"/>
        </w:rPr>
        <w:t>paragraphe </w:t>
      </w:r>
      <w:r w:rsidR="0059753E" w:rsidRPr="00986BEB">
        <w:rPr>
          <w:snapToGrid w:val="0"/>
          <w:szCs w:val="16"/>
          <w:u w:val="single"/>
          <w:lang w:val="fr-CA"/>
        </w:rPr>
        <w:t>5.3</w:t>
      </w:r>
      <w:r w:rsidR="000B08F2" w:rsidRPr="0059083D">
        <w:rPr>
          <w:snapToGrid w:val="0"/>
          <w:szCs w:val="16"/>
          <w:lang w:val="fr-CA"/>
        </w:rPr>
        <w:t xml:space="preserve">. </w:t>
      </w:r>
      <w:r w:rsidRPr="009D4254">
        <w:rPr>
          <w:snapToGrid w:val="0"/>
          <w:szCs w:val="16"/>
          <w:lang w:val="fr-CA"/>
        </w:rPr>
        <w:t xml:space="preserve">En outre, sauf approbation contraire du </w:t>
      </w:r>
      <w:r w:rsidR="000B08F2" w:rsidRPr="009D4254">
        <w:rPr>
          <w:snapToGrid w:val="0"/>
          <w:szCs w:val="16"/>
          <w:lang w:val="fr-CA"/>
        </w:rPr>
        <w:t>Conseil d’administration, [</w:t>
      </w:r>
      <w:r w:rsidRPr="009D4254">
        <w:rPr>
          <w:snapToGrid w:val="0"/>
          <w:szCs w:val="16"/>
          <w:lang w:val="fr-CA"/>
        </w:rPr>
        <w:t xml:space="preserve">y compris le </w:t>
      </w:r>
      <w:r w:rsidR="00D22551" w:rsidRPr="009D4254">
        <w:rPr>
          <w:szCs w:val="24"/>
          <w:lang w:val="fr-CA"/>
        </w:rPr>
        <w:t>Vote requis des Administrateurs privilégiés</w:t>
      </w:r>
      <w:r w:rsidR="000B08F2" w:rsidRPr="009D4254">
        <w:rPr>
          <w:snapToGrid w:val="0"/>
          <w:szCs w:val="16"/>
          <w:lang w:val="fr-CA"/>
        </w:rPr>
        <w:t>,] la Société</w:t>
      </w:r>
      <w:r w:rsidR="000B08F2" w:rsidRPr="009D4254">
        <w:rPr>
          <w:snapToGrid w:val="0"/>
          <w:lang w:val="fr-CA"/>
        </w:rPr>
        <w:t xml:space="preserve"> </w:t>
      </w:r>
      <w:r w:rsidR="00F315A0" w:rsidRPr="009D4254">
        <w:rPr>
          <w:szCs w:val="24"/>
          <w:lang w:val="fr-CA"/>
        </w:rPr>
        <w:t>[(x)</w:t>
      </w:r>
      <w:r w:rsidRPr="009D4254">
        <w:rPr>
          <w:szCs w:val="24"/>
          <w:lang w:val="fr-CA"/>
        </w:rPr>
        <w:t> </w:t>
      </w:r>
      <w:r w:rsidR="0075743C">
        <w:rPr>
          <w:szCs w:val="24"/>
          <w:lang w:val="fr-CA"/>
        </w:rPr>
        <w:t>s’abstient d’offrir ou de permettre</w:t>
      </w:r>
      <w:r w:rsidRPr="009D4254">
        <w:rPr>
          <w:szCs w:val="24"/>
          <w:lang w:val="fr-CA"/>
        </w:rPr>
        <w:t xml:space="preserve"> une acquisition anticipée</w:t>
      </w:r>
      <w:r w:rsidR="00F315A0" w:rsidRPr="009D4254">
        <w:rPr>
          <w:szCs w:val="24"/>
          <w:lang w:val="fr-CA"/>
        </w:rPr>
        <w:t xml:space="preserve">, </w:t>
      </w:r>
      <w:r w:rsidRPr="009D4254">
        <w:rPr>
          <w:szCs w:val="24"/>
          <w:lang w:val="fr-CA"/>
        </w:rPr>
        <w:t>et</w:t>
      </w:r>
      <w:r w:rsidR="00F315A0" w:rsidRPr="009D4254">
        <w:rPr>
          <w:szCs w:val="24"/>
          <w:lang w:val="fr-CA"/>
        </w:rPr>
        <w:t xml:space="preserve"> </w:t>
      </w:r>
      <w:bookmarkStart w:id="333" w:name="DocXTextRef216"/>
      <w:r w:rsidR="00F315A0" w:rsidRPr="009D4254">
        <w:rPr>
          <w:szCs w:val="24"/>
          <w:lang w:val="fr-CA"/>
        </w:rPr>
        <w:t>(</w:t>
      </w:r>
      <w:r w:rsidR="00F315A0" w:rsidRPr="00986BEB">
        <w:rPr>
          <w:szCs w:val="24"/>
          <w:lang w:val="fr-CA"/>
        </w:rPr>
        <w:t>y</w:t>
      </w:r>
      <w:r w:rsidR="00F315A0" w:rsidRPr="009D4254">
        <w:rPr>
          <w:szCs w:val="24"/>
          <w:lang w:val="fr-CA"/>
        </w:rPr>
        <w:t>)</w:t>
      </w:r>
      <w:bookmarkStart w:id="334" w:name="_Ref42252642"/>
      <w:bookmarkEnd w:id="333"/>
      <w:r w:rsidR="000B08F2" w:rsidRPr="00986BEB">
        <w:rPr>
          <w:rStyle w:val="FootnoteReference"/>
          <w:rFonts w:eastAsiaTheme="majorEastAsia"/>
          <w:color w:val="000000"/>
          <w:szCs w:val="24"/>
          <w:lang w:val="fr-CA"/>
        </w:rPr>
        <w:footnoteReference w:id="57"/>
      </w:r>
      <w:bookmarkEnd w:id="334"/>
      <w:r w:rsidR="00F741DA">
        <w:rPr>
          <w:szCs w:val="24"/>
          <w:lang w:val="fr-CA"/>
        </w:rPr>
        <w:t xml:space="preserve">] </w:t>
      </w:r>
      <w:r w:rsidRPr="009D4254">
        <w:rPr>
          <w:szCs w:val="24"/>
          <w:lang w:val="fr-CA"/>
        </w:rPr>
        <w:t xml:space="preserve">conserve un « droit de premier refus » </w:t>
      </w:r>
      <w:r w:rsidR="000B08F2" w:rsidRPr="009D4254">
        <w:rPr>
          <w:snapToGrid w:val="0"/>
          <w:lang w:val="fr-CA"/>
        </w:rPr>
        <w:t>(</w:t>
      </w:r>
      <w:r w:rsidRPr="009D4254">
        <w:rPr>
          <w:snapToGrid w:val="0"/>
          <w:lang w:val="fr-CA"/>
        </w:rPr>
        <w:t>et s’abstient d’y renoncer</w:t>
      </w:r>
      <w:r w:rsidR="000B08F2" w:rsidRPr="009D4254">
        <w:rPr>
          <w:snapToGrid w:val="0"/>
          <w:lang w:val="fr-CA"/>
        </w:rPr>
        <w:t xml:space="preserve">) </w:t>
      </w:r>
      <w:r w:rsidRPr="009D4254">
        <w:rPr>
          <w:snapToGrid w:val="0"/>
          <w:lang w:val="fr-CA"/>
        </w:rPr>
        <w:t xml:space="preserve">sur les transferts des employés jusqu’au PAPE de </w:t>
      </w:r>
      <w:r w:rsidR="000B08F2" w:rsidRPr="009D4254">
        <w:rPr>
          <w:snapToGrid w:val="0"/>
          <w:lang w:val="fr-CA"/>
        </w:rPr>
        <w:t>la Société</w:t>
      </w:r>
      <w:r w:rsidRPr="009D4254">
        <w:rPr>
          <w:snapToGrid w:val="0"/>
          <w:lang w:val="fr-CA"/>
        </w:rPr>
        <w:t xml:space="preserve"> et a le droit de racheter les actions </w:t>
      </w:r>
      <w:r w:rsidR="00F741DA">
        <w:rPr>
          <w:snapToGrid w:val="0"/>
          <w:lang w:val="fr-CA"/>
        </w:rPr>
        <w:t>dont les droits ne sont pas acquis au</w:t>
      </w:r>
      <w:r w:rsidRPr="009D4254">
        <w:rPr>
          <w:snapToGrid w:val="0"/>
          <w:lang w:val="fr-CA"/>
        </w:rPr>
        <w:t xml:space="preserve"> coût en cas de cessation d’emploi d’un porteur d’actions </w:t>
      </w:r>
      <w:r w:rsidR="000B08F2" w:rsidRPr="009D4254">
        <w:rPr>
          <w:snapToGrid w:val="0"/>
          <w:lang w:val="fr-CA"/>
        </w:rPr>
        <w:t>[</w:t>
      </w:r>
      <w:r w:rsidRPr="009D4254">
        <w:rPr>
          <w:snapToGrid w:val="0"/>
          <w:lang w:val="fr-CA"/>
        </w:rPr>
        <w:t>de négociation restreinte</w:t>
      </w:r>
      <w:r w:rsidR="000B08F2" w:rsidRPr="009D4254">
        <w:rPr>
          <w:snapToGrid w:val="0"/>
          <w:lang w:val="fr-CA"/>
        </w:rPr>
        <w:t>].</w:t>
      </w:r>
    </w:p>
    <w:p w14:paraId="156E6694" w14:textId="73D101B2" w:rsidR="00037C7E" w:rsidRPr="00986BEB" w:rsidRDefault="004E1041">
      <w:pPr>
        <w:pStyle w:val="StandardL2"/>
        <w:rPr>
          <w:lang w:val="fr-CA"/>
        </w:rPr>
      </w:pPr>
      <w:bookmarkStart w:id="335" w:name="_Ref448380640"/>
      <w:bookmarkStart w:id="336" w:name="_Toc132874747"/>
      <w:r w:rsidRPr="009D4254">
        <w:rPr>
          <w:lang w:val="fr-CA"/>
        </w:rPr>
        <w:t xml:space="preserve">Questions nécessitant l’approbation des </w:t>
      </w:r>
      <w:r w:rsidR="004B6285" w:rsidRPr="009D4254">
        <w:rPr>
          <w:lang w:val="fr-CA"/>
        </w:rPr>
        <w:t>Administrateur</w:t>
      </w:r>
      <w:r w:rsidRPr="009D4254">
        <w:rPr>
          <w:lang w:val="fr-CA"/>
        </w:rPr>
        <w:t>s</w:t>
      </w:r>
      <w:r w:rsidR="004B6285" w:rsidRPr="009D4254">
        <w:rPr>
          <w:lang w:val="fr-CA"/>
        </w:rPr>
        <w:t xml:space="preserve"> privilégié</w:t>
      </w:r>
      <w:r w:rsidRPr="009D4254">
        <w:rPr>
          <w:lang w:val="fr-CA"/>
        </w:rPr>
        <w:t>s</w:t>
      </w:r>
      <w:bookmarkStart w:id="337" w:name="_Ref448380725"/>
      <w:r w:rsidR="000B08F2" w:rsidRPr="00986BEB">
        <w:rPr>
          <w:rStyle w:val="FootnoteReference"/>
          <w:snapToGrid w:val="0"/>
          <w:lang w:val="fr-CA"/>
        </w:rPr>
        <w:footnoteReference w:id="58"/>
      </w:r>
      <w:bookmarkEnd w:id="335"/>
      <w:bookmarkEnd w:id="337"/>
      <w:r w:rsidRPr="004E1041">
        <w:rPr>
          <w:lang w:val="fr-CA"/>
        </w:rPr>
        <w:t>.</w:t>
      </w:r>
      <w:bookmarkEnd w:id="336"/>
    </w:p>
    <w:p w14:paraId="476207F8" w14:textId="2D28DF34" w:rsidR="00037C7E" w:rsidRPr="0059083D" w:rsidRDefault="004E1041">
      <w:pPr>
        <w:pStyle w:val="StandardCont2"/>
        <w:rPr>
          <w:lang w:val="fr-CA"/>
        </w:rPr>
      </w:pPr>
      <w:r>
        <w:rPr>
          <w:snapToGrid w:val="0"/>
          <w:lang w:val="fr-CA"/>
        </w:rPr>
        <w:t>Pendant que les porteurs d’</w:t>
      </w:r>
      <w:r w:rsidR="004B6285" w:rsidRPr="0059083D">
        <w:rPr>
          <w:snapToGrid w:val="0"/>
          <w:lang w:val="fr-CA"/>
        </w:rPr>
        <w:t>Actions privilégiées [de catégorie A]</w:t>
      </w:r>
      <w:r w:rsidR="0041095D" w:rsidRPr="0059083D">
        <w:rPr>
          <w:snapToGrid w:val="0"/>
          <w:lang w:val="fr-CA"/>
        </w:rPr>
        <w:t xml:space="preserve"> </w:t>
      </w:r>
      <w:r>
        <w:rPr>
          <w:snapToGrid w:val="0"/>
          <w:lang w:val="fr-CA"/>
        </w:rPr>
        <w:t xml:space="preserve">ont le droit d’élire un </w:t>
      </w:r>
      <w:r w:rsidR="004B6285" w:rsidRPr="0059083D">
        <w:rPr>
          <w:snapToGrid w:val="0"/>
          <w:lang w:val="fr-CA"/>
        </w:rPr>
        <w:t>Administrateur privilégié</w:t>
      </w:r>
      <w:r w:rsidR="0041095D" w:rsidRPr="0059083D">
        <w:rPr>
          <w:snapToGrid w:val="0"/>
          <w:lang w:val="fr-CA"/>
        </w:rPr>
        <w:t xml:space="preserve"> </w:t>
      </w:r>
      <w:r>
        <w:rPr>
          <w:snapToGrid w:val="0"/>
          <w:lang w:val="fr-CA"/>
        </w:rPr>
        <w:t>et que ce siège est pourvu</w:t>
      </w:r>
      <w:r w:rsidR="0041095D" w:rsidRPr="0059083D">
        <w:rPr>
          <w:snapToGrid w:val="0"/>
          <w:lang w:val="fr-CA"/>
        </w:rPr>
        <w:t xml:space="preserve">, </w:t>
      </w:r>
      <w:r w:rsidR="000B08F2" w:rsidRPr="0059083D">
        <w:rPr>
          <w:snapToGrid w:val="0"/>
          <w:lang w:val="fr-CA"/>
        </w:rPr>
        <w:t>la Société</w:t>
      </w:r>
      <w:r w:rsidR="0041095D" w:rsidRPr="0059083D">
        <w:rPr>
          <w:snapToGrid w:val="0"/>
          <w:lang w:val="fr-CA"/>
        </w:rPr>
        <w:t xml:space="preserve"> </w:t>
      </w:r>
      <w:r>
        <w:rPr>
          <w:snapToGrid w:val="0"/>
          <w:lang w:val="fr-CA"/>
        </w:rPr>
        <w:t xml:space="preserve">s’engage par les présentes envers chacun des </w:t>
      </w:r>
      <w:r w:rsidR="000B08F2" w:rsidRPr="0059083D">
        <w:rPr>
          <w:snapToGrid w:val="0"/>
          <w:lang w:val="fr-CA"/>
        </w:rPr>
        <w:t>Investisseurs</w:t>
      </w:r>
      <w:r w:rsidR="0041095D" w:rsidRPr="0059083D">
        <w:rPr>
          <w:snapToGrid w:val="0"/>
          <w:lang w:val="fr-CA"/>
        </w:rPr>
        <w:t xml:space="preserve"> </w:t>
      </w:r>
      <w:r>
        <w:rPr>
          <w:snapToGrid w:val="0"/>
          <w:lang w:val="fr-CA"/>
        </w:rPr>
        <w:t xml:space="preserve">à s’abstenir de faire ce qui suit sans l’approbation du </w:t>
      </w:r>
      <w:r w:rsidR="000B08F2" w:rsidRPr="0059083D">
        <w:rPr>
          <w:snapToGrid w:val="0"/>
          <w:lang w:val="fr-CA"/>
        </w:rPr>
        <w:t>Conseil d’administration</w:t>
      </w:r>
      <w:r w:rsidR="0041095D" w:rsidRPr="0059083D">
        <w:rPr>
          <w:snapToGrid w:val="0"/>
          <w:lang w:val="fr-CA"/>
        </w:rPr>
        <w:t xml:space="preserve">, </w:t>
      </w:r>
      <w:r w:rsidR="00023F37">
        <w:rPr>
          <w:snapToGrid w:val="0"/>
          <w:lang w:val="fr-CA"/>
        </w:rPr>
        <w:t xml:space="preserve">y compris </w:t>
      </w:r>
      <w:r>
        <w:rPr>
          <w:snapToGrid w:val="0"/>
          <w:lang w:val="fr-CA"/>
        </w:rPr>
        <w:t xml:space="preserve">le </w:t>
      </w:r>
      <w:r w:rsidR="00D22551" w:rsidRPr="0059083D">
        <w:rPr>
          <w:szCs w:val="24"/>
          <w:lang w:val="fr-CA"/>
        </w:rPr>
        <w:t>Vote requis des Administrateurs privilégiés</w:t>
      </w:r>
      <w:r>
        <w:rPr>
          <w:szCs w:val="24"/>
          <w:lang w:val="fr-CA"/>
        </w:rPr>
        <w:t> </w:t>
      </w:r>
      <w:r w:rsidR="0041095D" w:rsidRPr="0059083D">
        <w:rPr>
          <w:snapToGrid w:val="0"/>
          <w:lang w:val="fr-CA"/>
        </w:rPr>
        <w:t>:</w:t>
      </w:r>
    </w:p>
    <w:p w14:paraId="16D88485" w14:textId="02C8D44B" w:rsidR="00037C7E" w:rsidRPr="00986BEB" w:rsidRDefault="004E1041">
      <w:pPr>
        <w:pStyle w:val="StandardL3"/>
        <w:rPr>
          <w:lang w:val="fr-CA"/>
        </w:rPr>
      </w:pPr>
      <w:bookmarkStart w:id="338" w:name="_Ref448380641"/>
      <w:r>
        <w:rPr>
          <w:lang w:val="fr-CA"/>
        </w:rPr>
        <w:t>consentir ou permettre à une filiale de consentir un prêt ou une avance à toute filiale</w:t>
      </w:r>
      <w:r w:rsidR="005B3665">
        <w:rPr>
          <w:lang w:val="fr-CA"/>
        </w:rPr>
        <w:t xml:space="preserve"> ou autre</w:t>
      </w:r>
      <w:r>
        <w:rPr>
          <w:lang w:val="fr-CA"/>
        </w:rPr>
        <w:t xml:space="preserve"> société</w:t>
      </w:r>
      <w:r w:rsidR="00D25EB6">
        <w:rPr>
          <w:lang w:val="fr-CA"/>
        </w:rPr>
        <w:t xml:space="preserve"> par actions, société de personnes</w:t>
      </w:r>
      <w:r>
        <w:rPr>
          <w:lang w:val="fr-CA"/>
        </w:rPr>
        <w:t xml:space="preserve"> ou entité qui n’appartient pas en propriété exclusive à la Société, ou </w:t>
      </w:r>
      <w:r w:rsidR="00D25EB6">
        <w:rPr>
          <w:lang w:val="fr-CA"/>
        </w:rPr>
        <w:t>d’</w:t>
      </w:r>
      <w:r>
        <w:rPr>
          <w:lang w:val="fr-CA"/>
        </w:rPr>
        <w:t xml:space="preserve">être propriétaire d’actions ou </w:t>
      </w:r>
      <w:r w:rsidR="00265A5D">
        <w:rPr>
          <w:lang w:val="fr-CA"/>
        </w:rPr>
        <w:t xml:space="preserve">d’autres </w:t>
      </w:r>
      <w:r>
        <w:rPr>
          <w:lang w:val="fr-CA"/>
        </w:rPr>
        <w:t>titres d’une telle filiale</w:t>
      </w:r>
      <w:r w:rsidR="005B3665">
        <w:rPr>
          <w:lang w:val="fr-CA"/>
        </w:rPr>
        <w:t xml:space="preserve"> ou autre</w:t>
      </w:r>
      <w:r>
        <w:rPr>
          <w:lang w:val="fr-CA"/>
        </w:rPr>
        <w:t xml:space="preserve"> </w:t>
      </w:r>
      <w:r w:rsidR="005B3665">
        <w:rPr>
          <w:lang w:val="fr-CA"/>
        </w:rPr>
        <w:t xml:space="preserve">société par actions, </w:t>
      </w:r>
      <w:r>
        <w:rPr>
          <w:lang w:val="fr-CA"/>
        </w:rPr>
        <w:t>société de personnes ou entité</w:t>
      </w:r>
      <w:r w:rsidR="000B08F2" w:rsidRPr="0059083D">
        <w:rPr>
          <w:lang w:val="fr-CA"/>
        </w:rPr>
        <w:t>;</w:t>
      </w:r>
      <w:bookmarkEnd w:id="338"/>
    </w:p>
    <w:p w14:paraId="0B60AA7A" w14:textId="39E04379" w:rsidR="00037C7E" w:rsidRPr="00986BEB" w:rsidRDefault="004E1041">
      <w:pPr>
        <w:pStyle w:val="StandardL3"/>
        <w:rPr>
          <w:lang w:val="fr-CA"/>
        </w:rPr>
      </w:pPr>
      <w:bookmarkStart w:id="339" w:name="_Ref448380642"/>
      <w:r>
        <w:rPr>
          <w:lang w:val="fr-CA"/>
        </w:rPr>
        <w:t xml:space="preserve">consentir ou permettre à une filiale de consentir un prêt ou une avance à toute Personne, notamment tout employé ou administrateur </w:t>
      </w:r>
      <w:r w:rsidR="000B08F2" w:rsidRPr="0059083D">
        <w:rPr>
          <w:lang w:val="fr-CA"/>
        </w:rPr>
        <w:t xml:space="preserve">de la Société </w:t>
      </w:r>
      <w:r>
        <w:rPr>
          <w:lang w:val="fr-CA"/>
        </w:rPr>
        <w:t>ou d’une filiale</w:t>
      </w:r>
      <w:r w:rsidR="000B08F2" w:rsidRPr="0059083D">
        <w:rPr>
          <w:lang w:val="fr-CA"/>
        </w:rPr>
        <w:t xml:space="preserve">, </w:t>
      </w:r>
      <w:r>
        <w:rPr>
          <w:lang w:val="fr-CA"/>
        </w:rPr>
        <w:t xml:space="preserve">sauf des avances et des dépenses semblables dans le cours normal des activités </w:t>
      </w:r>
      <w:r w:rsidR="000B08F2" w:rsidRPr="0059083D">
        <w:rPr>
          <w:lang w:val="fr-CA"/>
        </w:rPr>
        <w:t>[</w:t>
      </w:r>
      <w:r>
        <w:rPr>
          <w:lang w:val="fr-CA"/>
        </w:rPr>
        <w:t xml:space="preserve">ou </w:t>
      </w:r>
      <w:r w:rsidR="00265A5D">
        <w:rPr>
          <w:lang w:val="fr-CA"/>
        </w:rPr>
        <w:t>aux termes d’</w:t>
      </w:r>
      <w:r>
        <w:rPr>
          <w:lang w:val="fr-CA"/>
        </w:rPr>
        <w:t>un régime d’actions ou d’options des employés approuvé par</w:t>
      </w:r>
      <w:r w:rsidR="000B08F2" w:rsidRPr="0059083D">
        <w:rPr>
          <w:lang w:val="fr-CA"/>
        </w:rPr>
        <w:t xml:space="preserve"> le Conseil d’administration];</w:t>
      </w:r>
      <w:bookmarkEnd w:id="339"/>
    </w:p>
    <w:p w14:paraId="1678BABA" w14:textId="525A5828" w:rsidR="00037C7E" w:rsidRPr="00986BEB" w:rsidRDefault="004E1041">
      <w:pPr>
        <w:pStyle w:val="StandardL3"/>
        <w:rPr>
          <w:lang w:val="fr-CA"/>
        </w:rPr>
      </w:pPr>
      <w:bookmarkStart w:id="340" w:name="_Ref448380643"/>
      <w:r>
        <w:rPr>
          <w:lang w:val="fr-CA"/>
        </w:rPr>
        <w:t>garantir</w:t>
      </w:r>
      <w:r w:rsidR="000B08F2" w:rsidRPr="0059083D">
        <w:rPr>
          <w:lang w:val="fr-CA"/>
        </w:rPr>
        <w:t xml:space="preserve">, </w:t>
      </w:r>
      <w:r>
        <w:rPr>
          <w:lang w:val="fr-CA"/>
        </w:rPr>
        <w:t>directement ou indirectement</w:t>
      </w:r>
      <w:r w:rsidR="000B08F2" w:rsidRPr="0059083D">
        <w:rPr>
          <w:lang w:val="fr-CA"/>
        </w:rPr>
        <w:t xml:space="preserve">, </w:t>
      </w:r>
      <w:r>
        <w:rPr>
          <w:lang w:val="fr-CA"/>
        </w:rPr>
        <w:t>ou permettre à une filiale</w:t>
      </w:r>
      <w:r w:rsidR="000B08F2" w:rsidRPr="0059083D">
        <w:rPr>
          <w:lang w:val="fr-CA"/>
        </w:rPr>
        <w:t xml:space="preserve"> </w:t>
      </w:r>
      <w:r>
        <w:rPr>
          <w:lang w:val="fr-CA"/>
        </w:rPr>
        <w:t>de garantir</w:t>
      </w:r>
      <w:r w:rsidR="000B08F2" w:rsidRPr="0059083D">
        <w:rPr>
          <w:lang w:val="fr-CA"/>
        </w:rPr>
        <w:t xml:space="preserve">, </w:t>
      </w:r>
      <w:r>
        <w:rPr>
          <w:lang w:val="fr-CA"/>
        </w:rPr>
        <w:t>directement ou indirectement</w:t>
      </w:r>
      <w:r w:rsidR="000B08F2" w:rsidRPr="0059083D">
        <w:rPr>
          <w:lang w:val="fr-CA"/>
        </w:rPr>
        <w:t xml:space="preserve">, </w:t>
      </w:r>
      <w:r>
        <w:rPr>
          <w:lang w:val="fr-CA"/>
        </w:rPr>
        <w:t>toute dette, sauf des comptes c</w:t>
      </w:r>
      <w:r w:rsidR="005B3665">
        <w:rPr>
          <w:lang w:val="fr-CA"/>
        </w:rPr>
        <w:t xml:space="preserve">ommerciaux </w:t>
      </w:r>
      <w:r w:rsidR="000B08F2" w:rsidRPr="0059083D">
        <w:rPr>
          <w:lang w:val="fr-CA"/>
        </w:rPr>
        <w:t xml:space="preserve">de la Société </w:t>
      </w:r>
      <w:r>
        <w:rPr>
          <w:lang w:val="fr-CA"/>
        </w:rPr>
        <w:t xml:space="preserve">ou d’une filiale </w:t>
      </w:r>
      <w:r w:rsidR="005B3665">
        <w:rPr>
          <w:lang w:val="fr-CA"/>
        </w:rPr>
        <w:t>découlant du</w:t>
      </w:r>
      <w:r>
        <w:rPr>
          <w:lang w:val="fr-CA"/>
        </w:rPr>
        <w:t xml:space="preserve"> cours normal des activités</w:t>
      </w:r>
      <w:r w:rsidR="000B08F2" w:rsidRPr="0059083D">
        <w:rPr>
          <w:lang w:val="fr-CA"/>
        </w:rPr>
        <w:t>;</w:t>
      </w:r>
      <w:bookmarkEnd w:id="340"/>
    </w:p>
    <w:p w14:paraId="30A03216" w14:textId="7C670F58" w:rsidR="00037C7E" w:rsidRPr="00986BEB" w:rsidRDefault="0041095D">
      <w:pPr>
        <w:pStyle w:val="StandardL3"/>
        <w:rPr>
          <w:lang w:val="fr-CA"/>
        </w:rPr>
      </w:pPr>
      <w:bookmarkStart w:id="341" w:name="_Ref448380644"/>
      <w:r w:rsidRPr="0059083D">
        <w:rPr>
          <w:lang w:val="fr-CA"/>
        </w:rPr>
        <w:t>[</w:t>
      </w:r>
      <w:r w:rsidR="004E1041">
        <w:rPr>
          <w:lang w:val="fr-CA"/>
        </w:rPr>
        <w:t xml:space="preserve">effectuer un investissement incompatible avec une politique de placement approuvé par </w:t>
      </w:r>
      <w:r w:rsidR="000B08F2" w:rsidRPr="0059083D">
        <w:rPr>
          <w:lang w:val="fr-CA"/>
        </w:rPr>
        <w:t>le Conseil d’administration</w:t>
      </w:r>
      <w:r w:rsidRPr="0059083D">
        <w:rPr>
          <w:lang w:val="fr-CA"/>
        </w:rPr>
        <w:t>;</w:t>
      </w:r>
      <w:bookmarkEnd w:id="341"/>
      <w:r w:rsidR="000B08F2" w:rsidRPr="0059083D">
        <w:rPr>
          <w:lang w:val="fr-CA"/>
        </w:rPr>
        <w:t>]</w:t>
      </w:r>
    </w:p>
    <w:p w14:paraId="0CAE3888" w14:textId="59799BDA" w:rsidR="00037C7E" w:rsidRPr="00986BEB" w:rsidRDefault="004E1041">
      <w:pPr>
        <w:pStyle w:val="StandardL3"/>
        <w:rPr>
          <w:lang w:val="fr-CA"/>
        </w:rPr>
      </w:pPr>
      <w:bookmarkStart w:id="342" w:name="_Ref448380645"/>
      <w:r>
        <w:rPr>
          <w:lang w:val="fr-CA"/>
        </w:rPr>
        <w:t xml:space="preserve">contracter des dettes supérieures à </w:t>
      </w:r>
      <w:r w:rsidR="00007601" w:rsidRPr="0059083D">
        <w:rPr>
          <w:lang w:val="fr-CA"/>
        </w:rPr>
        <w:t>[_____</w:t>
      </w:r>
      <w:r>
        <w:rPr>
          <w:lang w:val="fr-CA"/>
        </w:rPr>
        <w:t> $ CA</w:t>
      </w:r>
      <w:r w:rsidR="00007601" w:rsidRPr="0059083D">
        <w:rPr>
          <w:lang w:val="fr-CA"/>
        </w:rPr>
        <w:t xml:space="preserve">] </w:t>
      </w:r>
      <w:r>
        <w:rPr>
          <w:lang w:val="fr-CA"/>
        </w:rPr>
        <w:t xml:space="preserve">qui ne sont pas déjà prévues dans le </w:t>
      </w:r>
      <w:r w:rsidR="00007601" w:rsidRPr="0059083D">
        <w:rPr>
          <w:lang w:val="fr-CA"/>
        </w:rPr>
        <w:t>Budget (</w:t>
      </w:r>
      <w:r w:rsidR="008374D8">
        <w:rPr>
          <w:lang w:val="fr-CA"/>
        </w:rPr>
        <w:t>au sens donné à ce terme</w:t>
      </w:r>
      <w:r>
        <w:rPr>
          <w:lang w:val="fr-CA"/>
        </w:rPr>
        <w:t xml:space="preserve"> à l’</w:t>
      </w:r>
      <w:r w:rsidR="0006561D" w:rsidRPr="0059083D">
        <w:rPr>
          <w:u w:val="single"/>
          <w:lang w:val="fr-CA"/>
        </w:rPr>
        <w:t>alinéa </w:t>
      </w:r>
      <w:r w:rsidR="00007601" w:rsidRPr="00986BEB">
        <w:rPr>
          <w:u w:val="single"/>
          <w:lang w:val="fr-CA"/>
        </w:rPr>
        <w:fldChar w:fldCharType="begin"/>
      </w:r>
      <w:r w:rsidR="00007601" w:rsidRPr="00986BEB">
        <w:rPr>
          <w:u w:val="single"/>
          <w:lang w:val="fr-CA"/>
        </w:rPr>
        <w:instrText xml:space="preserve"> REF _Ref448380619 \w \h </w:instrText>
      </w:r>
      <w:r w:rsidR="00007601" w:rsidRPr="00986BEB">
        <w:rPr>
          <w:u w:val="single"/>
          <w:lang w:val="fr-CA"/>
        </w:rPr>
      </w:r>
      <w:r w:rsidR="00007601" w:rsidRPr="00986BEB">
        <w:rPr>
          <w:u w:val="single"/>
          <w:lang w:val="fr-CA"/>
        </w:rPr>
        <w:fldChar w:fldCharType="separate"/>
      </w:r>
      <w:r w:rsidR="00AE1D96">
        <w:rPr>
          <w:u w:val="single"/>
          <w:lang w:val="fr-CA"/>
        </w:rPr>
        <w:t>3.1e)</w:t>
      </w:r>
      <w:r w:rsidR="00007601" w:rsidRPr="00986BEB">
        <w:rPr>
          <w:u w:val="single"/>
          <w:lang w:val="fr-CA"/>
        </w:rPr>
        <w:fldChar w:fldCharType="end"/>
      </w:r>
      <w:r w:rsidR="000B08F2" w:rsidRPr="0059083D">
        <w:rPr>
          <w:lang w:val="fr-CA"/>
        </w:rPr>
        <w:t xml:space="preserve">), </w:t>
      </w:r>
      <w:r>
        <w:rPr>
          <w:lang w:val="fr-CA"/>
        </w:rPr>
        <w:t xml:space="preserve">sauf du crédit commercial </w:t>
      </w:r>
      <w:r w:rsidR="000F68A6">
        <w:rPr>
          <w:lang w:val="fr-CA"/>
        </w:rPr>
        <w:t>obtenu</w:t>
      </w:r>
      <w:r>
        <w:rPr>
          <w:lang w:val="fr-CA"/>
        </w:rPr>
        <w:t xml:space="preserve"> dans le cours normal des activités</w:t>
      </w:r>
      <w:r w:rsidR="000B08F2" w:rsidRPr="0059083D">
        <w:rPr>
          <w:lang w:val="fr-CA"/>
        </w:rPr>
        <w:t>;</w:t>
      </w:r>
      <w:bookmarkEnd w:id="342"/>
    </w:p>
    <w:p w14:paraId="12BB7846" w14:textId="55A2B14E" w:rsidR="00037C7E" w:rsidRPr="00986BEB" w:rsidRDefault="004E1041">
      <w:pPr>
        <w:pStyle w:val="StandardL3"/>
        <w:rPr>
          <w:lang w:val="fr-CA"/>
        </w:rPr>
      </w:pPr>
      <w:bookmarkStart w:id="343" w:name="_Ref448380647"/>
      <w:r>
        <w:rPr>
          <w:lang w:val="fr-CA"/>
        </w:rPr>
        <w:t>embaucher ou licencier des membres de la haute direction ou modifier leur rémunération, y compris approuver des attributions d’options ou d’actions à leur intention</w:t>
      </w:r>
      <w:r w:rsidR="000B08F2" w:rsidRPr="0059083D">
        <w:rPr>
          <w:lang w:val="fr-CA"/>
        </w:rPr>
        <w:t>;</w:t>
      </w:r>
      <w:bookmarkEnd w:id="343"/>
    </w:p>
    <w:p w14:paraId="3D01D81E" w14:textId="620EA3D5" w:rsidR="00037C7E" w:rsidRPr="00986BEB" w:rsidRDefault="004E1041">
      <w:pPr>
        <w:pStyle w:val="StandardL3"/>
        <w:rPr>
          <w:lang w:val="fr-CA"/>
        </w:rPr>
      </w:pPr>
      <w:bookmarkStart w:id="344" w:name="_Ref448380648"/>
      <w:r>
        <w:rPr>
          <w:lang w:val="fr-CA"/>
        </w:rPr>
        <w:t xml:space="preserve">modifier </w:t>
      </w:r>
      <w:r w:rsidR="00B9133F">
        <w:rPr>
          <w:lang w:val="fr-CA"/>
        </w:rPr>
        <w:t xml:space="preserve">son </w:t>
      </w:r>
      <w:r>
        <w:rPr>
          <w:lang w:val="fr-CA"/>
        </w:rPr>
        <w:t>activité principale</w:t>
      </w:r>
      <w:r w:rsidR="000B08F2" w:rsidRPr="0059083D">
        <w:rPr>
          <w:lang w:val="fr-CA"/>
        </w:rPr>
        <w:t xml:space="preserve">, </w:t>
      </w:r>
      <w:r>
        <w:rPr>
          <w:lang w:val="fr-CA"/>
        </w:rPr>
        <w:t>pénétrer de nouveaux secteurs d’activité ou quitter son secteur d’activité actuel</w:t>
      </w:r>
      <w:r w:rsidR="000B08F2" w:rsidRPr="0059083D">
        <w:rPr>
          <w:lang w:val="fr-CA"/>
        </w:rPr>
        <w:t>;</w:t>
      </w:r>
      <w:bookmarkEnd w:id="344"/>
    </w:p>
    <w:p w14:paraId="0ACCC3B4" w14:textId="01E3D6EA" w:rsidR="00037C7E" w:rsidRPr="00986BEB" w:rsidRDefault="004E1041">
      <w:pPr>
        <w:pStyle w:val="StandardL3"/>
        <w:rPr>
          <w:lang w:val="fr-CA"/>
        </w:rPr>
      </w:pPr>
      <w:bookmarkStart w:id="345" w:name="_Ref448380649"/>
      <w:r>
        <w:rPr>
          <w:lang w:val="fr-CA"/>
        </w:rPr>
        <w:t>vendre, céder, donner en gage ou grever d’une charge une technologie ou une propriété intellectuelle importante ou accorder une licence sur celle-ci, sauf des licences accordées dans le cours normal des activités</w:t>
      </w:r>
      <w:r w:rsidR="000B08F2" w:rsidRPr="0059083D">
        <w:rPr>
          <w:lang w:val="fr-CA"/>
        </w:rPr>
        <w:t xml:space="preserve">; </w:t>
      </w:r>
      <w:bookmarkEnd w:id="345"/>
    </w:p>
    <w:p w14:paraId="6C7C8AD5" w14:textId="027DFA05" w:rsidR="00037C7E" w:rsidRPr="00986BEB" w:rsidRDefault="004E1041">
      <w:pPr>
        <w:pStyle w:val="StandardL3"/>
        <w:rPr>
          <w:lang w:val="fr-CA"/>
        </w:rPr>
      </w:pPr>
      <w:bookmarkStart w:id="346" w:name="_Ref448380650"/>
      <w:r>
        <w:rPr>
          <w:lang w:val="fr-CA"/>
        </w:rPr>
        <w:t>conclure une relation d’affaires stratégique comportant un paiement, un</w:t>
      </w:r>
      <w:r w:rsidR="007B2720">
        <w:rPr>
          <w:lang w:val="fr-CA"/>
        </w:rPr>
        <w:t>e contribution</w:t>
      </w:r>
      <w:r>
        <w:rPr>
          <w:lang w:val="fr-CA"/>
        </w:rPr>
        <w:t xml:space="preserve"> ou une cession par </w:t>
      </w:r>
      <w:r w:rsidR="000B08F2" w:rsidRPr="0059083D">
        <w:rPr>
          <w:lang w:val="fr-CA"/>
        </w:rPr>
        <w:t xml:space="preserve">la Société </w:t>
      </w:r>
      <w:r>
        <w:rPr>
          <w:lang w:val="fr-CA"/>
        </w:rPr>
        <w:t xml:space="preserve">ou en sa faveur de sommes ou d’actifs d’une valeur supérieure à </w:t>
      </w:r>
      <w:r w:rsidR="000B08F2" w:rsidRPr="0059083D">
        <w:rPr>
          <w:lang w:val="fr-CA"/>
        </w:rPr>
        <w:t>[</w:t>
      </w:r>
      <w:r>
        <w:rPr>
          <w:lang w:val="fr-CA"/>
        </w:rPr>
        <w:t>cinq cent mille</w:t>
      </w:r>
      <w:r w:rsidR="000B08F2" w:rsidRPr="0059083D">
        <w:rPr>
          <w:lang w:val="fr-CA"/>
        </w:rPr>
        <w:t xml:space="preserve"> </w:t>
      </w:r>
      <w:r w:rsidR="000F68A6">
        <w:rPr>
          <w:lang w:val="fr-CA"/>
        </w:rPr>
        <w:t>-</w:t>
      </w:r>
      <w:r w:rsidR="000B08F2" w:rsidRPr="0059083D">
        <w:rPr>
          <w:lang w:val="fr-CA"/>
        </w:rPr>
        <w:t xml:space="preserve"> </w:t>
      </w:r>
      <w:r>
        <w:rPr>
          <w:lang w:val="fr-CA"/>
        </w:rPr>
        <w:t>un million</w:t>
      </w:r>
      <w:r w:rsidR="000B08F2" w:rsidRPr="0059083D">
        <w:rPr>
          <w:lang w:val="fr-CA"/>
        </w:rPr>
        <w:t xml:space="preserve">] </w:t>
      </w:r>
      <w:r>
        <w:rPr>
          <w:lang w:val="fr-CA"/>
        </w:rPr>
        <w:t>de dollars [canadiens / américains]</w:t>
      </w:r>
      <w:r w:rsidR="000B08F2" w:rsidRPr="0059083D">
        <w:rPr>
          <w:lang w:val="fr-CA"/>
        </w:rPr>
        <w:t xml:space="preserve"> ([</w:t>
      </w:r>
      <w:r w:rsidR="000B08F2" w:rsidRPr="00986BEB">
        <w:rPr>
          <w:lang w:val="fr-CA"/>
        </w:rPr>
        <w:t>500</w:t>
      </w:r>
      <w:r w:rsidR="0094159E" w:rsidRPr="00986BEB">
        <w:rPr>
          <w:lang w:val="fr-CA"/>
        </w:rPr>
        <w:t> </w:t>
      </w:r>
      <w:r w:rsidR="000B08F2" w:rsidRPr="00986BEB">
        <w:rPr>
          <w:lang w:val="fr-CA"/>
        </w:rPr>
        <w:t>000</w:t>
      </w:r>
      <w:r w:rsidR="0094159E">
        <w:rPr>
          <w:lang w:val="fr-CA"/>
        </w:rPr>
        <w:t xml:space="preserve"> </w:t>
      </w:r>
      <w:r w:rsidR="000F68A6">
        <w:rPr>
          <w:lang w:val="fr-CA"/>
        </w:rPr>
        <w:t>-</w:t>
      </w:r>
      <w:r w:rsidR="0094159E">
        <w:rPr>
          <w:lang w:val="fr-CA"/>
        </w:rPr>
        <w:t xml:space="preserve"> </w:t>
      </w:r>
      <w:r w:rsidR="000B08F2" w:rsidRPr="00986BEB">
        <w:rPr>
          <w:lang w:val="fr-CA"/>
        </w:rPr>
        <w:t>1</w:t>
      </w:r>
      <w:r w:rsidRPr="00986BEB">
        <w:rPr>
          <w:lang w:val="fr-CA"/>
        </w:rPr>
        <w:t> </w:t>
      </w:r>
      <w:r w:rsidR="000B08F2" w:rsidRPr="00986BEB">
        <w:rPr>
          <w:lang w:val="fr-CA"/>
        </w:rPr>
        <w:t>000</w:t>
      </w:r>
      <w:r w:rsidRPr="00986BEB">
        <w:rPr>
          <w:lang w:val="fr-CA"/>
        </w:rPr>
        <w:t> </w:t>
      </w:r>
      <w:r w:rsidR="000B08F2" w:rsidRPr="00986BEB">
        <w:rPr>
          <w:lang w:val="fr-CA"/>
        </w:rPr>
        <w:t>000</w:t>
      </w:r>
      <w:r w:rsidR="000B08F2" w:rsidRPr="0059083D">
        <w:rPr>
          <w:lang w:val="fr-CA"/>
        </w:rPr>
        <w:t>]</w:t>
      </w:r>
      <w:r>
        <w:rPr>
          <w:lang w:val="fr-CA"/>
        </w:rPr>
        <w:t> [$ CA / $ US</w:t>
      </w:r>
      <w:r w:rsidR="0094159E">
        <w:rPr>
          <w:lang w:val="fr-CA"/>
        </w:rPr>
        <w:t>]</w:t>
      </w:r>
      <w:r w:rsidR="000B08F2" w:rsidRPr="0059083D">
        <w:rPr>
          <w:lang w:val="fr-CA"/>
        </w:rPr>
        <w:t>).</w:t>
      </w:r>
      <w:bookmarkEnd w:id="346"/>
    </w:p>
    <w:p w14:paraId="00E7014C" w14:textId="6468D433" w:rsidR="00037C7E" w:rsidRPr="00986BEB" w:rsidRDefault="00D26139">
      <w:pPr>
        <w:pStyle w:val="StandardL2"/>
        <w:rPr>
          <w:lang w:val="fr-CA"/>
        </w:rPr>
      </w:pPr>
      <w:bookmarkStart w:id="347" w:name="_Toc132874748"/>
      <w:r>
        <w:rPr>
          <w:lang w:val="fr-CA"/>
        </w:rPr>
        <w:t>Questions relatives au Conseil.</w:t>
      </w:r>
      <w:bookmarkEnd w:id="347"/>
    </w:p>
    <w:p w14:paraId="39297416" w14:textId="7EA127BF" w:rsidR="00037C7E" w:rsidRPr="0059083D" w:rsidRDefault="000B08F2">
      <w:pPr>
        <w:pStyle w:val="StandardCont2"/>
        <w:rPr>
          <w:lang w:val="fr-CA"/>
        </w:rPr>
      </w:pPr>
      <w:r w:rsidRPr="009D4254">
        <w:rPr>
          <w:snapToGrid w:val="0"/>
          <w:lang w:val="fr-CA"/>
        </w:rPr>
        <w:t xml:space="preserve">La Société </w:t>
      </w:r>
      <w:r w:rsidR="00D26139" w:rsidRPr="009D4254">
        <w:rPr>
          <w:snapToGrid w:val="0"/>
          <w:lang w:val="fr-CA"/>
        </w:rPr>
        <w:t xml:space="preserve">rembourse aux administrateurs </w:t>
      </w:r>
      <w:r w:rsidRPr="009D4254">
        <w:rPr>
          <w:snapToGrid w:val="0"/>
          <w:lang w:val="fr-CA"/>
        </w:rPr>
        <w:t>[</w:t>
      </w:r>
      <w:r w:rsidR="00D26139" w:rsidRPr="009D4254">
        <w:rPr>
          <w:snapToGrid w:val="0"/>
          <w:lang w:val="fr-CA"/>
        </w:rPr>
        <w:t>non employés</w:t>
      </w:r>
      <w:r w:rsidRPr="009D4254">
        <w:rPr>
          <w:snapToGrid w:val="0"/>
          <w:lang w:val="fr-CA"/>
        </w:rPr>
        <w:t xml:space="preserve">] </w:t>
      </w:r>
      <w:r w:rsidR="00D26139" w:rsidRPr="009D4254">
        <w:rPr>
          <w:snapToGrid w:val="0"/>
          <w:lang w:val="fr-CA"/>
        </w:rPr>
        <w:t>tous les frais de déplacement raisonnables qu’ils engage</w:t>
      </w:r>
      <w:r w:rsidR="003B175A">
        <w:rPr>
          <w:snapToGrid w:val="0"/>
          <w:lang w:val="fr-CA"/>
        </w:rPr>
        <w:t>nt</w:t>
      </w:r>
      <w:r w:rsidR="00D26139" w:rsidRPr="009D4254">
        <w:rPr>
          <w:snapToGrid w:val="0"/>
          <w:lang w:val="fr-CA"/>
        </w:rPr>
        <w:t xml:space="preserve"> </w:t>
      </w:r>
      <w:r w:rsidRPr="009D4254">
        <w:rPr>
          <w:snapToGrid w:val="0"/>
          <w:lang w:val="fr-CA"/>
        </w:rPr>
        <w:t>(</w:t>
      </w:r>
      <w:r w:rsidR="00D26139" w:rsidRPr="009D4254">
        <w:rPr>
          <w:snapToGrid w:val="0"/>
          <w:lang w:val="fr-CA"/>
        </w:rPr>
        <w:t xml:space="preserve">conformément à la politique sur les déplacements de la </w:t>
      </w:r>
      <w:r w:rsidRPr="009D4254">
        <w:rPr>
          <w:snapToGrid w:val="0"/>
          <w:lang w:val="fr-CA"/>
        </w:rPr>
        <w:t xml:space="preserve">Société) </w:t>
      </w:r>
      <w:r w:rsidR="00D26139" w:rsidRPr="009D4254">
        <w:rPr>
          <w:snapToGrid w:val="0"/>
          <w:lang w:val="fr-CA"/>
        </w:rPr>
        <w:t xml:space="preserve">pour assister aux réunions du </w:t>
      </w:r>
      <w:r w:rsidRPr="009D4254">
        <w:rPr>
          <w:snapToGrid w:val="0"/>
          <w:lang w:val="fr-CA"/>
        </w:rPr>
        <w:t>Conseil d’administration.</w:t>
      </w:r>
      <w:r w:rsidRPr="0059083D">
        <w:rPr>
          <w:snapToGrid w:val="0"/>
          <w:lang w:val="fr-CA"/>
        </w:rPr>
        <w:t xml:space="preserve"> [La Société </w:t>
      </w:r>
      <w:r w:rsidR="00D26139">
        <w:rPr>
          <w:snapToGrid w:val="0"/>
          <w:lang w:val="fr-CA"/>
        </w:rPr>
        <w:t>veille à ce que soit mis sur pied</w:t>
      </w:r>
      <w:r w:rsidRPr="0059083D">
        <w:rPr>
          <w:snapToGrid w:val="0"/>
          <w:lang w:val="fr-CA"/>
        </w:rPr>
        <w:t xml:space="preserve">, </w:t>
      </w:r>
      <w:r w:rsidR="00D26139">
        <w:rPr>
          <w:snapToGrid w:val="0"/>
          <w:lang w:val="fr-CA"/>
        </w:rPr>
        <w:t>dès que possible avoir en avoir reçu la demande</w:t>
      </w:r>
      <w:r w:rsidRPr="0059083D">
        <w:rPr>
          <w:snapToGrid w:val="0"/>
          <w:lang w:val="fr-CA"/>
        </w:rPr>
        <w:t xml:space="preserve">, </w:t>
      </w:r>
      <w:r w:rsidR="00D26139">
        <w:rPr>
          <w:snapToGrid w:val="0"/>
          <w:lang w:val="fr-CA"/>
        </w:rPr>
        <w:t>et maintient un comité d’audit et un comité de rémunération, tous deux composés exclusivement d’administrateurs non membres de la direction</w:t>
      </w:r>
      <w:r w:rsidRPr="0059083D">
        <w:rPr>
          <w:snapToGrid w:val="0"/>
          <w:lang w:val="fr-CA"/>
        </w:rPr>
        <w:t xml:space="preserve">. </w:t>
      </w:r>
      <w:r w:rsidR="00D26139">
        <w:rPr>
          <w:snapToGrid w:val="0"/>
          <w:lang w:val="fr-CA"/>
        </w:rPr>
        <w:t xml:space="preserve">Chaque administrateur non employé a le droit, à son gré, d’être membre [de tous les comités] [du comité d’audit et du comité de rémunération] du </w:t>
      </w:r>
      <w:r w:rsidRPr="0059083D">
        <w:rPr>
          <w:snapToGrid w:val="0"/>
          <w:lang w:val="fr-CA"/>
        </w:rPr>
        <w:t>Conseil d’administration</w:t>
      </w:r>
      <w:bookmarkStart w:id="348" w:name="_Ref42252645"/>
      <w:r w:rsidRPr="00986BEB">
        <w:rPr>
          <w:rStyle w:val="FootnoteReference"/>
          <w:rFonts w:eastAsiaTheme="majorEastAsia"/>
          <w:szCs w:val="24"/>
          <w:lang w:val="fr-CA"/>
        </w:rPr>
        <w:footnoteReference w:id="59"/>
      </w:r>
      <w:bookmarkEnd w:id="348"/>
      <w:r w:rsidR="0094159E" w:rsidRPr="0059083D">
        <w:rPr>
          <w:snapToGrid w:val="0"/>
          <w:lang w:val="fr-CA"/>
        </w:rPr>
        <w:t>.]</w:t>
      </w:r>
    </w:p>
    <w:p w14:paraId="065741AB" w14:textId="476835A0" w:rsidR="00037C7E" w:rsidRPr="00986BEB" w:rsidRDefault="00D26139">
      <w:pPr>
        <w:pStyle w:val="StandardL2"/>
        <w:rPr>
          <w:lang w:val="fr-CA"/>
        </w:rPr>
      </w:pPr>
      <w:bookmarkStart w:id="349" w:name="_Ref448380652"/>
      <w:bookmarkStart w:id="350" w:name="_Toc132874749"/>
      <w:r w:rsidRPr="009D4254">
        <w:rPr>
          <w:lang w:val="fr-CA"/>
        </w:rPr>
        <w:t>Obligation d’indemnisation des successeurs</w:t>
      </w:r>
      <w:r w:rsidR="000B08F2" w:rsidRPr="009D4254">
        <w:rPr>
          <w:snapToGrid w:val="0"/>
          <w:lang w:val="fr-CA"/>
        </w:rPr>
        <w:t>.</w:t>
      </w:r>
      <w:bookmarkEnd w:id="349"/>
      <w:bookmarkEnd w:id="350"/>
    </w:p>
    <w:p w14:paraId="5C7EFB9C" w14:textId="30FC7C96" w:rsidR="00037C7E" w:rsidRPr="009D4254" w:rsidRDefault="00D26139">
      <w:pPr>
        <w:pStyle w:val="StandardCont2"/>
        <w:rPr>
          <w:lang w:val="fr-CA"/>
        </w:rPr>
      </w:pPr>
      <w:r w:rsidRPr="009D4254">
        <w:rPr>
          <w:snapToGrid w:val="0"/>
          <w:lang w:val="fr-CA"/>
        </w:rPr>
        <w:t>Si la Société ou l’un de ses successeurs ou cessionnaires procède à un regroupement ou à une fusion avec une autre Personne et n’est pas la société ou l’entité issue de ce</w:t>
      </w:r>
      <w:r w:rsidR="00B10555">
        <w:rPr>
          <w:snapToGrid w:val="0"/>
          <w:lang w:val="fr-CA"/>
        </w:rPr>
        <w:t>tte opération</w:t>
      </w:r>
      <w:r w:rsidRPr="009D4254">
        <w:rPr>
          <w:snapToGrid w:val="0"/>
          <w:lang w:val="fr-CA"/>
        </w:rPr>
        <w:t xml:space="preserve">, alors, dans la mesure nécessaire, une </w:t>
      </w:r>
      <w:r w:rsidRPr="002665CB">
        <w:rPr>
          <w:snapToGrid w:val="0"/>
          <w:lang w:val="fr-CA"/>
        </w:rPr>
        <w:t>provision adéquate</w:t>
      </w:r>
      <w:r w:rsidRPr="009D4254">
        <w:rPr>
          <w:snapToGrid w:val="0"/>
          <w:lang w:val="fr-CA"/>
        </w:rPr>
        <w:t xml:space="preserve"> doit être constituée afin que les successeurs et cessionnaires de la Société </w:t>
      </w:r>
      <w:r w:rsidR="00293FA0">
        <w:rPr>
          <w:snapToGrid w:val="0"/>
          <w:lang w:val="fr-CA"/>
        </w:rPr>
        <w:t xml:space="preserve">prennent en charge </w:t>
      </w:r>
      <w:r w:rsidRPr="009D4254">
        <w:rPr>
          <w:snapToGrid w:val="0"/>
          <w:lang w:val="fr-CA"/>
        </w:rPr>
        <w:t xml:space="preserve">les obligations de la Société en matière d’indemnisation des membres du Conseil d’administration </w:t>
      </w:r>
      <w:r w:rsidR="00B10555">
        <w:rPr>
          <w:snapToGrid w:val="0"/>
          <w:lang w:val="fr-CA"/>
        </w:rPr>
        <w:t xml:space="preserve">qui étaient </w:t>
      </w:r>
      <w:r w:rsidRPr="009D4254">
        <w:rPr>
          <w:snapToGrid w:val="0"/>
          <w:lang w:val="fr-CA"/>
        </w:rPr>
        <w:t xml:space="preserve">en vigueur immédiatement avant l’opération, que ces obligations figurent dans les </w:t>
      </w:r>
      <w:r w:rsidR="0033655C">
        <w:rPr>
          <w:snapToGrid w:val="0"/>
          <w:lang w:val="fr-CA"/>
        </w:rPr>
        <w:t>R</w:t>
      </w:r>
      <w:r w:rsidRPr="009D4254">
        <w:rPr>
          <w:snapToGrid w:val="0"/>
          <w:lang w:val="fr-CA"/>
        </w:rPr>
        <w:t>èglements administratifs de la Société, dans ses Statuts ou ailleurs, selon le cas.</w:t>
      </w:r>
    </w:p>
    <w:p w14:paraId="0E877C3F" w14:textId="5A8621D2" w:rsidR="00037C7E" w:rsidRPr="00986BEB" w:rsidRDefault="000B08F2">
      <w:pPr>
        <w:pStyle w:val="StandardL2"/>
        <w:rPr>
          <w:lang w:val="fr-CA"/>
        </w:rPr>
      </w:pPr>
      <w:bookmarkStart w:id="351" w:name="_Ref448380653"/>
      <w:bookmarkStart w:id="352" w:name="_Toc132874750"/>
      <w:r w:rsidRPr="009D4254">
        <w:rPr>
          <w:lang w:val="fr-CA"/>
        </w:rPr>
        <w:t>[</w:t>
      </w:r>
      <w:r w:rsidR="00D26139" w:rsidRPr="009D4254">
        <w:rPr>
          <w:lang w:val="fr-CA"/>
        </w:rPr>
        <w:t xml:space="preserve">Honoraires </w:t>
      </w:r>
      <w:r w:rsidR="003D09A3">
        <w:rPr>
          <w:lang w:val="fr-CA"/>
        </w:rPr>
        <w:t>du</w:t>
      </w:r>
      <w:r w:rsidR="00D26139" w:rsidRPr="009D4254">
        <w:rPr>
          <w:lang w:val="fr-CA"/>
        </w:rPr>
        <w:t xml:space="preserve"> conseiller juridique</w:t>
      </w:r>
      <w:r w:rsidRPr="009D4254">
        <w:rPr>
          <w:snapToGrid w:val="0"/>
          <w:lang w:val="fr-CA"/>
        </w:rPr>
        <w:t>.</w:t>
      </w:r>
      <w:bookmarkEnd w:id="351"/>
      <w:bookmarkEnd w:id="352"/>
    </w:p>
    <w:p w14:paraId="7EB637ED" w14:textId="77BA244F" w:rsidR="00037C7E" w:rsidRPr="0059083D" w:rsidRDefault="00D26139">
      <w:pPr>
        <w:pStyle w:val="StandardCont2"/>
        <w:rPr>
          <w:lang w:val="fr-CA"/>
        </w:rPr>
      </w:pPr>
      <w:r>
        <w:rPr>
          <w:snapToGrid w:val="0"/>
          <w:lang w:val="fr-CA"/>
        </w:rPr>
        <w:t xml:space="preserve">Advenant une opération </w:t>
      </w:r>
      <w:r w:rsidR="00293FA0">
        <w:rPr>
          <w:snapToGrid w:val="0"/>
          <w:lang w:val="fr-CA"/>
        </w:rPr>
        <w:t xml:space="preserve">qui constitue une </w:t>
      </w:r>
      <w:r w:rsidRPr="00293FA0">
        <w:rPr>
          <w:snapToGrid w:val="0"/>
          <w:lang w:val="fr-CA"/>
        </w:rPr>
        <w:t>Vente</w:t>
      </w:r>
      <w:r>
        <w:rPr>
          <w:snapToGrid w:val="0"/>
          <w:lang w:val="fr-CA"/>
        </w:rPr>
        <w:t xml:space="preserve"> </w:t>
      </w:r>
      <w:r w:rsidR="000B08F2" w:rsidRPr="0059083D">
        <w:rPr>
          <w:snapToGrid w:val="0"/>
          <w:lang w:val="fr-CA"/>
        </w:rPr>
        <w:t>de la Société (</w:t>
      </w:r>
      <w:r>
        <w:rPr>
          <w:snapToGrid w:val="0"/>
          <w:lang w:val="fr-CA"/>
        </w:rPr>
        <w:t xml:space="preserve">au sens </w:t>
      </w:r>
      <w:r w:rsidR="002665CB">
        <w:rPr>
          <w:snapToGrid w:val="0"/>
          <w:lang w:val="fr-CA"/>
        </w:rPr>
        <w:t xml:space="preserve">donné à </w:t>
      </w:r>
      <w:r w:rsidR="00C057E5">
        <w:rPr>
          <w:i/>
          <w:iCs/>
          <w:snapToGrid w:val="0"/>
          <w:lang w:val="fr-CA"/>
        </w:rPr>
        <w:t xml:space="preserve">Sale of the Company </w:t>
      </w:r>
      <w:r w:rsidR="00C057E5">
        <w:rPr>
          <w:snapToGrid w:val="0"/>
          <w:lang w:val="fr-CA"/>
        </w:rPr>
        <w:t>dans</w:t>
      </w:r>
      <w:r>
        <w:rPr>
          <w:snapToGrid w:val="0"/>
          <w:lang w:val="fr-CA"/>
        </w:rPr>
        <w:t xml:space="preserve"> la Convention de vote </w:t>
      </w:r>
      <w:r w:rsidR="000B08F2" w:rsidRPr="0059083D">
        <w:rPr>
          <w:snapToGrid w:val="0"/>
          <w:lang w:val="fr-CA"/>
        </w:rPr>
        <w:t>[</w:t>
      </w:r>
      <w:r>
        <w:rPr>
          <w:snapToGrid w:val="0"/>
          <w:lang w:val="fr-CA"/>
        </w:rPr>
        <w:t>modifiée et mise à jour</w:t>
      </w:r>
      <w:r w:rsidR="000B08F2" w:rsidRPr="0059083D">
        <w:rPr>
          <w:snapToGrid w:val="0"/>
          <w:lang w:val="fr-CA"/>
        </w:rPr>
        <w:t xml:space="preserve">] </w:t>
      </w:r>
      <w:r>
        <w:rPr>
          <w:snapToGrid w:val="0"/>
          <w:lang w:val="fr-CA"/>
        </w:rPr>
        <w:t xml:space="preserve">intervenue à la même date que les présentes entre les </w:t>
      </w:r>
      <w:r w:rsidR="000B08F2" w:rsidRPr="0059083D">
        <w:rPr>
          <w:snapToGrid w:val="0"/>
          <w:lang w:val="fr-CA"/>
        </w:rPr>
        <w:t xml:space="preserve">Investisseurs, la Société </w:t>
      </w:r>
      <w:r>
        <w:rPr>
          <w:snapToGrid w:val="0"/>
          <w:lang w:val="fr-CA"/>
        </w:rPr>
        <w:t>et les autres parties qui y sont nommées</w:t>
      </w:r>
      <w:r w:rsidR="000B08F2" w:rsidRPr="0059083D">
        <w:rPr>
          <w:snapToGrid w:val="0"/>
          <w:lang w:val="fr-CA"/>
        </w:rPr>
        <w:t xml:space="preserve">), </w:t>
      </w:r>
      <w:r>
        <w:rPr>
          <w:snapToGrid w:val="0"/>
          <w:lang w:val="fr-CA"/>
        </w:rPr>
        <w:t>les honoraires et débours raisonnables</w:t>
      </w:r>
      <w:r w:rsidR="000B08F2" w:rsidRPr="0059083D">
        <w:rPr>
          <w:snapToGrid w:val="0"/>
          <w:lang w:val="fr-CA"/>
        </w:rPr>
        <w:t xml:space="preserve">[, </w:t>
      </w:r>
      <w:r>
        <w:rPr>
          <w:snapToGrid w:val="0"/>
          <w:lang w:val="fr-CA"/>
        </w:rPr>
        <w:t xml:space="preserve">d’au plus </w:t>
      </w:r>
      <w:r w:rsidRPr="0059083D">
        <w:rPr>
          <w:snapToGrid w:val="0"/>
          <w:lang w:val="fr-CA"/>
        </w:rPr>
        <w:t>_____</w:t>
      </w:r>
      <w:r>
        <w:rPr>
          <w:snapToGrid w:val="0"/>
          <w:lang w:val="fr-CA"/>
        </w:rPr>
        <w:t> </w:t>
      </w:r>
      <w:r w:rsidR="000B08F2" w:rsidRPr="0059083D">
        <w:rPr>
          <w:snapToGrid w:val="0"/>
          <w:lang w:val="fr-CA"/>
        </w:rPr>
        <w:t>[</w:t>
      </w:r>
      <w:r>
        <w:rPr>
          <w:snapToGrid w:val="0"/>
          <w:lang w:val="fr-CA"/>
        </w:rPr>
        <w:t>$ CA</w:t>
      </w:r>
      <w:r w:rsidR="000B08F2" w:rsidRPr="0059083D">
        <w:rPr>
          <w:snapToGrid w:val="0"/>
          <w:lang w:val="fr-CA"/>
        </w:rPr>
        <w:t xml:space="preserve"> / </w:t>
      </w:r>
      <w:r>
        <w:rPr>
          <w:snapToGrid w:val="0"/>
          <w:lang w:val="fr-CA"/>
        </w:rPr>
        <w:t>$ US</w:t>
      </w:r>
      <w:r w:rsidR="000B08F2" w:rsidRPr="0059083D">
        <w:rPr>
          <w:snapToGrid w:val="0"/>
          <w:lang w:val="fr-CA"/>
        </w:rPr>
        <w:t xml:space="preserve">],] </w:t>
      </w:r>
      <w:r>
        <w:rPr>
          <w:snapToGrid w:val="0"/>
          <w:lang w:val="fr-CA"/>
        </w:rPr>
        <w:t xml:space="preserve">d’un conseiller juridique </w:t>
      </w:r>
      <w:r w:rsidR="003D09A3">
        <w:rPr>
          <w:snapToGrid w:val="0"/>
          <w:lang w:val="fr-CA"/>
        </w:rPr>
        <w:t xml:space="preserve">dont les </w:t>
      </w:r>
      <w:r>
        <w:rPr>
          <w:snapToGrid w:val="0"/>
          <w:lang w:val="fr-CA"/>
        </w:rPr>
        <w:t xml:space="preserve">Investisseurs </w:t>
      </w:r>
      <w:r w:rsidR="000B08F2" w:rsidRPr="0059083D">
        <w:rPr>
          <w:snapToGrid w:val="0"/>
          <w:lang w:val="fr-CA"/>
        </w:rPr>
        <w:t>[</w:t>
      </w:r>
      <w:r>
        <w:rPr>
          <w:snapToGrid w:val="0"/>
          <w:lang w:val="fr-CA"/>
        </w:rPr>
        <w:t>importants</w:t>
      </w:r>
      <w:r w:rsidR="000B08F2" w:rsidRPr="0059083D">
        <w:rPr>
          <w:snapToGrid w:val="0"/>
          <w:lang w:val="fr-CA"/>
        </w:rPr>
        <w:t xml:space="preserve">] </w:t>
      </w:r>
      <w:r w:rsidR="003D09A3">
        <w:rPr>
          <w:snapToGrid w:val="0"/>
          <w:lang w:val="fr-CA"/>
        </w:rPr>
        <w:t xml:space="preserve">retiennent les services en leur qualité d’actionnaires </w:t>
      </w:r>
      <w:r w:rsidR="000B08F2" w:rsidRPr="0059083D">
        <w:rPr>
          <w:snapToGrid w:val="0"/>
          <w:lang w:val="fr-CA"/>
        </w:rPr>
        <w:t>(</w:t>
      </w:r>
      <w:r>
        <w:rPr>
          <w:snapToGrid w:val="0"/>
          <w:lang w:val="fr-CA"/>
        </w:rPr>
        <w:t xml:space="preserve">le </w:t>
      </w:r>
      <w:r w:rsidR="000B08F2" w:rsidRPr="0059083D">
        <w:rPr>
          <w:snapToGrid w:val="0"/>
          <w:lang w:val="fr-CA"/>
        </w:rPr>
        <w:t>« </w:t>
      </w:r>
      <w:r>
        <w:rPr>
          <w:b/>
          <w:bCs/>
          <w:snapToGrid w:val="0"/>
          <w:lang w:val="fr-CA"/>
        </w:rPr>
        <w:t>Conseiller juridique des investisseurs</w:t>
      </w:r>
      <w:r w:rsidR="000B08F2" w:rsidRPr="0059083D">
        <w:rPr>
          <w:snapToGrid w:val="0"/>
          <w:lang w:val="fr-CA"/>
        </w:rPr>
        <w:t> »)</w:t>
      </w:r>
      <w:r>
        <w:rPr>
          <w:snapToGrid w:val="0"/>
          <w:lang w:val="fr-CA"/>
        </w:rPr>
        <w:t xml:space="preserve"> sont assumés et payés par </w:t>
      </w:r>
      <w:r w:rsidR="000B08F2" w:rsidRPr="0059083D">
        <w:rPr>
          <w:snapToGrid w:val="0"/>
          <w:lang w:val="fr-CA"/>
        </w:rPr>
        <w:t xml:space="preserve">la Société. </w:t>
      </w:r>
      <w:r>
        <w:rPr>
          <w:snapToGrid w:val="0"/>
          <w:lang w:val="fr-CA"/>
        </w:rPr>
        <w:t xml:space="preserve">Dès le début de l’analyse d’une opération qui, si elle </w:t>
      </w:r>
      <w:r w:rsidR="00C057E5">
        <w:rPr>
          <w:snapToGrid w:val="0"/>
          <w:lang w:val="fr-CA"/>
        </w:rPr>
        <w:t>était</w:t>
      </w:r>
      <w:r>
        <w:rPr>
          <w:snapToGrid w:val="0"/>
          <w:lang w:val="fr-CA"/>
        </w:rPr>
        <w:t xml:space="preserve"> réalisée, constituerait une Vente de </w:t>
      </w:r>
      <w:r w:rsidR="000B08F2" w:rsidRPr="0059083D">
        <w:rPr>
          <w:snapToGrid w:val="0"/>
          <w:lang w:val="fr-CA"/>
        </w:rPr>
        <w:t xml:space="preserve">la Société, la Société </w:t>
      </w:r>
      <w:r>
        <w:rPr>
          <w:snapToGrid w:val="0"/>
          <w:lang w:val="fr-CA"/>
        </w:rPr>
        <w:t xml:space="preserve">obtient le droit de communiquer </w:t>
      </w:r>
      <w:r w:rsidR="00B60284">
        <w:rPr>
          <w:snapToGrid w:val="0"/>
          <w:lang w:val="fr-CA"/>
        </w:rPr>
        <w:t xml:space="preserve">et communique </w:t>
      </w:r>
      <w:r>
        <w:rPr>
          <w:snapToGrid w:val="0"/>
          <w:lang w:val="fr-CA"/>
        </w:rPr>
        <w:t>au Conseiller juridique des investisseurs</w:t>
      </w:r>
      <w:r w:rsidR="000B08F2" w:rsidRPr="0059083D">
        <w:rPr>
          <w:snapToGrid w:val="0"/>
          <w:lang w:val="fr-CA"/>
        </w:rPr>
        <w:t xml:space="preserve"> (</w:t>
      </w:r>
      <w:r>
        <w:rPr>
          <w:snapToGrid w:val="0"/>
          <w:lang w:val="fr-CA"/>
        </w:rPr>
        <w:t>et aux clients de celui-ci</w:t>
      </w:r>
      <w:r w:rsidR="000B08F2" w:rsidRPr="0059083D">
        <w:rPr>
          <w:snapToGrid w:val="0"/>
          <w:lang w:val="fr-CA"/>
        </w:rPr>
        <w:t xml:space="preserve">) </w:t>
      </w:r>
      <w:r>
        <w:rPr>
          <w:snapToGrid w:val="0"/>
          <w:lang w:val="fr-CA"/>
        </w:rPr>
        <w:t>les renseignements confidentiels</w:t>
      </w:r>
      <w:r w:rsidR="000B08F2" w:rsidRPr="0059083D">
        <w:rPr>
          <w:snapToGrid w:val="0"/>
          <w:lang w:val="fr-CA"/>
        </w:rPr>
        <w:t xml:space="preserve"> (</w:t>
      </w:r>
      <w:r>
        <w:rPr>
          <w:snapToGrid w:val="0"/>
          <w:lang w:val="fr-CA"/>
        </w:rPr>
        <w:t xml:space="preserve">notamment les projets de protocoles d’entente, de lettres d’intention et d’autres documents d’opération initiaux et subséquents ainsi que les </w:t>
      </w:r>
      <w:r w:rsidR="00B60284">
        <w:rPr>
          <w:snapToGrid w:val="0"/>
          <w:lang w:val="fr-CA"/>
        </w:rPr>
        <w:t>ententes</w:t>
      </w:r>
      <w:r>
        <w:rPr>
          <w:snapToGrid w:val="0"/>
          <w:lang w:val="fr-CA"/>
        </w:rPr>
        <w:t xml:space="preserve"> et plans </w:t>
      </w:r>
      <w:r w:rsidR="00B60284">
        <w:rPr>
          <w:snapToGrid w:val="0"/>
          <w:lang w:val="fr-CA"/>
        </w:rPr>
        <w:t xml:space="preserve">connexes en matière </w:t>
      </w:r>
      <w:r>
        <w:rPr>
          <w:snapToGrid w:val="0"/>
          <w:lang w:val="fr-CA"/>
        </w:rPr>
        <w:t>de non</w:t>
      </w:r>
      <w:r w:rsidR="003D09A3">
        <w:rPr>
          <w:snapToGrid w:val="0"/>
          <w:lang w:val="fr-CA"/>
        </w:rPr>
        <w:noBreakHyphen/>
      </w:r>
      <w:r>
        <w:rPr>
          <w:snapToGrid w:val="0"/>
          <w:lang w:val="fr-CA"/>
        </w:rPr>
        <w:t>concurrence, d’emploi, de consultation et de rémunération</w:t>
      </w:r>
      <w:r w:rsidR="000B08F2" w:rsidRPr="0059083D">
        <w:rPr>
          <w:snapToGrid w:val="0"/>
          <w:lang w:val="fr-CA"/>
        </w:rPr>
        <w:t xml:space="preserve">) </w:t>
      </w:r>
      <w:r w:rsidR="00627B27">
        <w:rPr>
          <w:snapToGrid w:val="0"/>
          <w:lang w:val="fr-CA"/>
        </w:rPr>
        <w:t xml:space="preserve">qui </w:t>
      </w:r>
      <w:r>
        <w:rPr>
          <w:snapToGrid w:val="0"/>
          <w:lang w:val="fr-CA"/>
        </w:rPr>
        <w:t>concern</w:t>
      </w:r>
      <w:r w:rsidR="00627B27">
        <w:rPr>
          <w:snapToGrid w:val="0"/>
          <w:lang w:val="fr-CA"/>
        </w:rPr>
        <w:t>e</w:t>
      </w:r>
      <w:r>
        <w:rPr>
          <w:snapToGrid w:val="0"/>
          <w:lang w:val="fr-CA"/>
        </w:rPr>
        <w:t>nt et document</w:t>
      </w:r>
      <w:r w:rsidR="00627B27">
        <w:rPr>
          <w:snapToGrid w:val="0"/>
          <w:lang w:val="fr-CA"/>
        </w:rPr>
        <w:t>e</w:t>
      </w:r>
      <w:r>
        <w:rPr>
          <w:snapToGrid w:val="0"/>
          <w:lang w:val="fr-CA"/>
        </w:rPr>
        <w:t xml:space="preserve">nt </w:t>
      </w:r>
      <w:r w:rsidR="00C057E5">
        <w:rPr>
          <w:snapToGrid w:val="0"/>
          <w:lang w:val="fr-CA"/>
        </w:rPr>
        <w:t>les</w:t>
      </w:r>
      <w:r w:rsidR="00F62816">
        <w:rPr>
          <w:snapToGrid w:val="0"/>
          <w:lang w:val="fr-CA"/>
        </w:rPr>
        <w:t xml:space="preserve"> </w:t>
      </w:r>
      <w:r>
        <w:rPr>
          <w:snapToGrid w:val="0"/>
          <w:lang w:val="fr-CA"/>
        </w:rPr>
        <w:t>opération</w:t>
      </w:r>
      <w:r w:rsidR="00C057E5">
        <w:rPr>
          <w:snapToGrid w:val="0"/>
          <w:lang w:val="fr-CA"/>
        </w:rPr>
        <w:t>s</w:t>
      </w:r>
      <w:r>
        <w:rPr>
          <w:snapToGrid w:val="0"/>
          <w:lang w:val="fr-CA"/>
        </w:rPr>
        <w:t xml:space="preserve"> qui</w:t>
      </w:r>
      <w:r w:rsidR="000B08F2" w:rsidRPr="0059083D">
        <w:rPr>
          <w:snapToGrid w:val="0"/>
          <w:lang w:val="fr-CA"/>
        </w:rPr>
        <w:t xml:space="preserve">, </w:t>
      </w:r>
      <w:r>
        <w:rPr>
          <w:snapToGrid w:val="0"/>
          <w:lang w:val="fr-CA"/>
        </w:rPr>
        <w:t>individuellement ou collectivement avec d’autres opérations, constituerai</w:t>
      </w:r>
      <w:r w:rsidR="00C057E5">
        <w:rPr>
          <w:snapToGrid w:val="0"/>
          <w:lang w:val="fr-CA"/>
        </w:rPr>
        <w:t>en</w:t>
      </w:r>
      <w:r>
        <w:rPr>
          <w:snapToGrid w:val="0"/>
          <w:lang w:val="fr-CA"/>
        </w:rPr>
        <w:t xml:space="preserve">t la Vente </w:t>
      </w:r>
      <w:r w:rsidR="000B08F2" w:rsidRPr="0059083D">
        <w:rPr>
          <w:snapToGrid w:val="0"/>
          <w:lang w:val="fr-CA"/>
        </w:rPr>
        <w:t xml:space="preserve">de la Société. La Société </w:t>
      </w:r>
      <w:r>
        <w:rPr>
          <w:snapToGrid w:val="0"/>
          <w:lang w:val="fr-CA"/>
        </w:rPr>
        <w:t xml:space="preserve">a l’obligation de communiquer </w:t>
      </w:r>
      <w:r w:rsidR="000B08F2" w:rsidRPr="0059083D">
        <w:rPr>
          <w:snapToGrid w:val="0"/>
          <w:lang w:val="fr-CA"/>
        </w:rPr>
        <w:t>(</w:t>
      </w:r>
      <w:r>
        <w:rPr>
          <w:snapToGrid w:val="0"/>
          <w:lang w:val="fr-CA"/>
        </w:rPr>
        <w:t>et de veiller à ce que son conseiller juridique et ses banquiers d’affaires communiquent</w:t>
      </w:r>
      <w:r w:rsidR="000B08F2" w:rsidRPr="0059083D">
        <w:rPr>
          <w:snapToGrid w:val="0"/>
          <w:lang w:val="fr-CA"/>
        </w:rPr>
        <w:t xml:space="preserve">) </w:t>
      </w:r>
      <w:r>
        <w:rPr>
          <w:snapToGrid w:val="0"/>
          <w:lang w:val="fr-CA"/>
        </w:rPr>
        <w:t xml:space="preserve">ces documents au moment où ils sont distribués à ses membres de la haute direction </w:t>
      </w:r>
      <w:r w:rsidR="000B08F2" w:rsidRPr="0059083D">
        <w:rPr>
          <w:snapToGrid w:val="0"/>
          <w:lang w:val="fr-CA"/>
        </w:rPr>
        <w:t xml:space="preserve">et/ou </w:t>
      </w:r>
      <w:r>
        <w:rPr>
          <w:snapToGrid w:val="0"/>
          <w:lang w:val="fr-CA"/>
        </w:rPr>
        <w:t xml:space="preserve">à une </w:t>
      </w:r>
      <w:r w:rsidR="000B08F2" w:rsidRPr="0059083D">
        <w:rPr>
          <w:snapToGrid w:val="0"/>
          <w:lang w:val="fr-CA"/>
        </w:rPr>
        <w:t>(</w:t>
      </w:r>
      <w:r w:rsidR="000B08F2" w:rsidRPr="00986BEB">
        <w:rPr>
          <w:snapToGrid w:val="0"/>
          <w:lang w:val="fr-CA"/>
        </w:rPr>
        <w:t>1</w:t>
      </w:r>
      <w:r w:rsidR="000B08F2" w:rsidRPr="0059083D">
        <w:rPr>
          <w:snapToGrid w:val="0"/>
          <w:lang w:val="fr-CA"/>
        </w:rPr>
        <w:t xml:space="preserve">) </w:t>
      </w:r>
      <w:r>
        <w:rPr>
          <w:snapToGrid w:val="0"/>
          <w:lang w:val="fr-CA"/>
        </w:rPr>
        <w:t>ou à plusieurs des autres parties à l’opération ou aux opérations</w:t>
      </w:r>
      <w:r w:rsidR="000B08F2" w:rsidRPr="0059083D">
        <w:rPr>
          <w:snapToGrid w:val="0"/>
          <w:lang w:val="fr-CA"/>
        </w:rPr>
        <w:t xml:space="preserve">. </w:t>
      </w:r>
      <w:r>
        <w:rPr>
          <w:snapToGrid w:val="0"/>
          <w:lang w:val="fr-CA"/>
        </w:rPr>
        <w:t>Si le Conseiller juridique des investisseurs</w:t>
      </w:r>
      <w:r w:rsidR="000B08F2" w:rsidRPr="0059083D">
        <w:rPr>
          <w:snapToGrid w:val="0"/>
          <w:lang w:val="fr-CA"/>
        </w:rPr>
        <w:t xml:space="preserve"> </w:t>
      </w:r>
      <w:r>
        <w:rPr>
          <w:snapToGrid w:val="0"/>
          <w:lang w:val="fr-CA"/>
        </w:rPr>
        <w:t xml:space="preserve">est raisonnablement d’avis qu’il est opportun de conclure une </w:t>
      </w:r>
      <w:r w:rsidR="00DD369C">
        <w:rPr>
          <w:snapToGrid w:val="0"/>
          <w:lang w:val="fr-CA"/>
        </w:rPr>
        <w:t xml:space="preserve">entente de défense conjointe </w:t>
      </w:r>
      <w:r w:rsidR="000B08F2" w:rsidRPr="0059083D">
        <w:rPr>
          <w:snapToGrid w:val="0"/>
          <w:lang w:val="fr-CA"/>
        </w:rPr>
        <w:t>(</w:t>
      </w:r>
      <w:r w:rsidR="00DD369C">
        <w:rPr>
          <w:snapToGrid w:val="0"/>
          <w:lang w:val="fr-CA"/>
        </w:rPr>
        <w:t>ou d’intérêt commun</w:t>
      </w:r>
      <w:r w:rsidR="000B08F2" w:rsidRPr="0059083D">
        <w:rPr>
          <w:snapToGrid w:val="0"/>
          <w:lang w:val="fr-CA"/>
        </w:rPr>
        <w:t xml:space="preserve">) </w:t>
      </w:r>
      <w:r w:rsidR="00DD369C">
        <w:rPr>
          <w:snapToGrid w:val="0"/>
          <w:lang w:val="fr-CA"/>
        </w:rPr>
        <w:t xml:space="preserve">ou une autre entente pour permettre aux parties de mieux protéger leurs communications et les autres documents examinés qui sont soumis au </w:t>
      </w:r>
      <w:r w:rsidR="00DD369C" w:rsidRPr="009D4254">
        <w:rPr>
          <w:lang w:val="fr-CA"/>
        </w:rPr>
        <w:t xml:space="preserve">privilège du secret professionnel </w:t>
      </w:r>
      <w:r w:rsidR="00DD369C">
        <w:rPr>
          <w:lang w:val="fr-CA"/>
        </w:rPr>
        <w:t>de l’avocat</w:t>
      </w:r>
      <w:r w:rsidR="000B08F2" w:rsidRPr="0059083D">
        <w:rPr>
          <w:snapToGrid w:val="0"/>
          <w:lang w:val="fr-CA"/>
        </w:rPr>
        <w:t xml:space="preserve">, la Société </w:t>
      </w:r>
      <w:r w:rsidR="00DD369C">
        <w:rPr>
          <w:snapToGrid w:val="0"/>
          <w:lang w:val="fr-CA"/>
        </w:rPr>
        <w:t>signe et remet</w:t>
      </w:r>
      <w:r w:rsidR="00627B27">
        <w:rPr>
          <w:snapToGrid w:val="0"/>
          <w:lang w:val="fr-CA"/>
        </w:rPr>
        <w:t xml:space="preserve"> au Conseiller juridique des investisseurs</w:t>
      </w:r>
      <w:r w:rsidR="00627B27" w:rsidRPr="0059083D">
        <w:rPr>
          <w:snapToGrid w:val="0"/>
          <w:lang w:val="fr-CA"/>
        </w:rPr>
        <w:t xml:space="preserve"> </w:t>
      </w:r>
      <w:r w:rsidR="00627B27">
        <w:rPr>
          <w:snapToGrid w:val="0"/>
          <w:lang w:val="fr-CA"/>
        </w:rPr>
        <w:t>et à ses clients</w:t>
      </w:r>
      <w:r w:rsidR="00DD369C">
        <w:rPr>
          <w:snapToGrid w:val="0"/>
          <w:lang w:val="fr-CA"/>
        </w:rPr>
        <w:t xml:space="preserve">, et </w:t>
      </w:r>
      <w:r w:rsidR="006448B3">
        <w:rPr>
          <w:snapToGrid w:val="0"/>
          <w:lang w:val="fr-CA"/>
        </w:rPr>
        <w:t>enjoint</w:t>
      </w:r>
      <w:r w:rsidR="00DD369C">
        <w:rPr>
          <w:snapToGrid w:val="0"/>
          <w:lang w:val="fr-CA"/>
        </w:rPr>
        <w:t xml:space="preserve"> à son conseiller juridique de signer et de remettre au </w:t>
      </w:r>
      <w:r>
        <w:rPr>
          <w:snapToGrid w:val="0"/>
          <w:lang w:val="fr-CA"/>
        </w:rPr>
        <w:t>Conseiller juridique des investisseurs</w:t>
      </w:r>
      <w:r w:rsidR="000B08F2" w:rsidRPr="0059083D">
        <w:rPr>
          <w:snapToGrid w:val="0"/>
          <w:lang w:val="fr-CA"/>
        </w:rPr>
        <w:t xml:space="preserve"> </w:t>
      </w:r>
      <w:r w:rsidR="00DD369C">
        <w:rPr>
          <w:snapToGrid w:val="0"/>
          <w:lang w:val="fr-CA"/>
        </w:rPr>
        <w:t>et à ses clients une convention dont le Conseiller juridique des investisseurs</w:t>
      </w:r>
      <w:r w:rsidR="00DD369C" w:rsidRPr="0059083D">
        <w:rPr>
          <w:snapToGrid w:val="0"/>
          <w:lang w:val="fr-CA"/>
        </w:rPr>
        <w:t xml:space="preserve"> </w:t>
      </w:r>
      <w:r w:rsidR="00DD369C">
        <w:rPr>
          <w:snapToGrid w:val="0"/>
          <w:lang w:val="fr-CA"/>
        </w:rPr>
        <w:t xml:space="preserve">et le conseiller juridique de </w:t>
      </w:r>
      <w:r w:rsidR="00DD369C" w:rsidRPr="0059083D">
        <w:rPr>
          <w:snapToGrid w:val="0"/>
          <w:lang w:val="fr-CA"/>
        </w:rPr>
        <w:t>la Société</w:t>
      </w:r>
      <w:r w:rsidR="00DD369C">
        <w:rPr>
          <w:snapToGrid w:val="0"/>
          <w:lang w:val="fr-CA"/>
        </w:rPr>
        <w:t xml:space="preserve"> jugent la forme et le fond </w:t>
      </w:r>
      <w:r w:rsidR="007C4E71" w:rsidRPr="0059083D">
        <w:rPr>
          <w:snapToGrid w:val="0"/>
          <w:lang w:val="fr-CA"/>
        </w:rPr>
        <w:t>raisonnablement</w:t>
      </w:r>
      <w:r w:rsidR="000B08F2" w:rsidRPr="0059083D">
        <w:rPr>
          <w:snapToGrid w:val="0"/>
          <w:lang w:val="fr-CA"/>
        </w:rPr>
        <w:t xml:space="preserve"> acceptable</w:t>
      </w:r>
      <w:r w:rsidR="00DD369C">
        <w:rPr>
          <w:snapToGrid w:val="0"/>
          <w:lang w:val="fr-CA"/>
        </w:rPr>
        <w:t>s</w:t>
      </w:r>
      <w:r w:rsidR="000B08F2" w:rsidRPr="0059083D">
        <w:rPr>
          <w:snapToGrid w:val="0"/>
          <w:lang w:val="fr-CA"/>
        </w:rPr>
        <w:t xml:space="preserve">. </w:t>
      </w:r>
      <w:r w:rsidR="00DD369C">
        <w:rPr>
          <w:snapToGrid w:val="0"/>
          <w:lang w:val="fr-CA"/>
        </w:rPr>
        <w:t xml:space="preserve">Si une </w:t>
      </w:r>
      <w:r w:rsidR="000B08F2" w:rsidRPr="0059083D">
        <w:rPr>
          <w:snapToGrid w:val="0"/>
          <w:lang w:val="fr-CA"/>
        </w:rPr>
        <w:t>(</w:t>
      </w:r>
      <w:r w:rsidR="000B08F2" w:rsidRPr="00986BEB">
        <w:rPr>
          <w:snapToGrid w:val="0"/>
          <w:lang w:val="fr-CA"/>
        </w:rPr>
        <w:t>1</w:t>
      </w:r>
      <w:r w:rsidR="000B08F2" w:rsidRPr="0059083D">
        <w:rPr>
          <w:snapToGrid w:val="0"/>
          <w:lang w:val="fr-CA"/>
        </w:rPr>
        <w:t>)</w:t>
      </w:r>
      <w:r w:rsidR="00DD369C">
        <w:rPr>
          <w:snapToGrid w:val="0"/>
          <w:lang w:val="fr-CA"/>
        </w:rPr>
        <w:t xml:space="preserve"> ou plusieurs </w:t>
      </w:r>
      <w:r w:rsidR="00600572">
        <w:rPr>
          <w:snapToGrid w:val="0"/>
          <w:lang w:val="fr-CA"/>
        </w:rPr>
        <w:t xml:space="preserve">des </w:t>
      </w:r>
      <w:r w:rsidR="00DD369C">
        <w:rPr>
          <w:snapToGrid w:val="0"/>
          <w:lang w:val="fr-CA"/>
        </w:rPr>
        <w:t xml:space="preserve">autres parties à ces opérations exigent que les clients du </w:t>
      </w:r>
      <w:r>
        <w:rPr>
          <w:snapToGrid w:val="0"/>
          <w:lang w:val="fr-CA"/>
        </w:rPr>
        <w:t>Conseiller juridique des investisseurs</w:t>
      </w:r>
      <w:r w:rsidR="000B08F2" w:rsidRPr="0059083D">
        <w:rPr>
          <w:snapToGrid w:val="0"/>
          <w:lang w:val="fr-CA"/>
        </w:rPr>
        <w:t xml:space="preserve"> </w:t>
      </w:r>
      <w:r w:rsidR="00DD369C">
        <w:rPr>
          <w:snapToGrid w:val="0"/>
          <w:lang w:val="fr-CA"/>
        </w:rPr>
        <w:t xml:space="preserve">concluent une entente de confidentialité </w:t>
      </w:r>
      <w:r w:rsidR="000B08F2" w:rsidRPr="0059083D">
        <w:rPr>
          <w:snapToGrid w:val="0"/>
          <w:lang w:val="fr-CA"/>
        </w:rPr>
        <w:t xml:space="preserve">et/ou </w:t>
      </w:r>
      <w:r w:rsidR="00DD369C">
        <w:rPr>
          <w:snapToGrid w:val="0"/>
          <w:lang w:val="fr-CA"/>
        </w:rPr>
        <w:t xml:space="preserve">de défense conjointe </w:t>
      </w:r>
      <w:r w:rsidR="000B08F2" w:rsidRPr="0059083D">
        <w:rPr>
          <w:snapToGrid w:val="0"/>
          <w:lang w:val="fr-CA"/>
        </w:rPr>
        <w:t>(</w:t>
      </w:r>
      <w:r w:rsidR="00DD369C">
        <w:rPr>
          <w:snapToGrid w:val="0"/>
          <w:lang w:val="fr-CA"/>
        </w:rPr>
        <w:t>ou d’intérêt commun</w:t>
      </w:r>
      <w:r w:rsidR="000B08F2" w:rsidRPr="0059083D">
        <w:rPr>
          <w:snapToGrid w:val="0"/>
          <w:lang w:val="fr-CA"/>
        </w:rPr>
        <w:t xml:space="preserve">) </w:t>
      </w:r>
      <w:r w:rsidR="00DD369C">
        <w:rPr>
          <w:snapToGrid w:val="0"/>
          <w:lang w:val="fr-CA"/>
        </w:rPr>
        <w:t xml:space="preserve">afin de recevoir ces renseignements, </w:t>
      </w:r>
      <w:r w:rsidR="00600572">
        <w:rPr>
          <w:snapToGrid w:val="0"/>
          <w:lang w:val="fr-CA"/>
        </w:rPr>
        <w:t xml:space="preserve">alors </w:t>
      </w:r>
      <w:r w:rsidR="000B08F2" w:rsidRPr="0059083D">
        <w:rPr>
          <w:snapToGrid w:val="0"/>
          <w:lang w:val="fr-CA"/>
        </w:rPr>
        <w:t xml:space="preserve">la Société </w:t>
      </w:r>
      <w:r w:rsidR="00DD369C">
        <w:rPr>
          <w:snapToGrid w:val="0"/>
          <w:lang w:val="fr-CA"/>
        </w:rPr>
        <w:t xml:space="preserve">communique tous les renseignements qu’elle est autorisée à communiquer sans conclure une telle </w:t>
      </w:r>
      <w:r w:rsidR="00600572">
        <w:rPr>
          <w:snapToGrid w:val="0"/>
          <w:lang w:val="fr-CA"/>
        </w:rPr>
        <w:t>entente</w:t>
      </w:r>
      <w:r w:rsidR="00DD369C">
        <w:rPr>
          <w:snapToGrid w:val="0"/>
          <w:lang w:val="fr-CA"/>
        </w:rPr>
        <w:t xml:space="preserve"> et, parallèlement, elle travaille </w:t>
      </w:r>
      <w:r w:rsidR="00627B27">
        <w:rPr>
          <w:snapToGrid w:val="0"/>
          <w:lang w:val="fr-CA"/>
        </w:rPr>
        <w:t xml:space="preserve">avec célérité </w:t>
      </w:r>
      <w:r w:rsidR="00DD369C">
        <w:rPr>
          <w:snapToGrid w:val="0"/>
          <w:lang w:val="fr-CA"/>
        </w:rPr>
        <w:t xml:space="preserve">et de bonne foi pour permettre au </w:t>
      </w:r>
      <w:r>
        <w:rPr>
          <w:snapToGrid w:val="0"/>
          <w:lang w:val="fr-CA"/>
        </w:rPr>
        <w:t>Conseiller juridique des investisseurs</w:t>
      </w:r>
      <w:r w:rsidR="000B08F2" w:rsidRPr="0059083D">
        <w:rPr>
          <w:snapToGrid w:val="0"/>
          <w:lang w:val="fr-CA"/>
        </w:rPr>
        <w:t xml:space="preserve"> </w:t>
      </w:r>
      <w:r w:rsidR="00DD369C">
        <w:rPr>
          <w:snapToGrid w:val="0"/>
          <w:lang w:val="fr-CA"/>
        </w:rPr>
        <w:t xml:space="preserve">et à ses clients de négocier et de conclure la ou les ententes appropriées sans imposer un fardeau injustifié aux </w:t>
      </w:r>
      <w:r w:rsidR="00600572">
        <w:rPr>
          <w:snapToGrid w:val="0"/>
          <w:lang w:val="fr-CA"/>
        </w:rPr>
        <w:t xml:space="preserve">clients du </w:t>
      </w:r>
      <w:r>
        <w:rPr>
          <w:snapToGrid w:val="0"/>
          <w:lang w:val="fr-CA"/>
        </w:rPr>
        <w:t>Conseiller juridique des investisseurs</w:t>
      </w:r>
      <w:bookmarkStart w:id="353" w:name="_Ref448380727"/>
      <w:r w:rsidR="00600572" w:rsidRPr="00986BEB">
        <w:rPr>
          <w:rStyle w:val="FootnoteReference"/>
          <w:snapToGrid w:val="0"/>
          <w:lang w:val="fr-CA"/>
        </w:rPr>
        <w:footnoteReference w:id="60"/>
      </w:r>
      <w:bookmarkEnd w:id="353"/>
      <w:r w:rsidR="000B08F2" w:rsidRPr="0059083D">
        <w:rPr>
          <w:snapToGrid w:val="0"/>
          <w:lang w:val="fr-CA"/>
        </w:rPr>
        <w:t>.]</w:t>
      </w:r>
    </w:p>
    <w:p w14:paraId="2F8C8465" w14:textId="592C32A3" w:rsidR="00037C7E" w:rsidRPr="00986BEB" w:rsidRDefault="000B08F2">
      <w:pPr>
        <w:pStyle w:val="StandardL2"/>
        <w:rPr>
          <w:lang w:val="fr-CA"/>
        </w:rPr>
      </w:pPr>
      <w:bookmarkStart w:id="354" w:name="_Ref448380654"/>
      <w:bookmarkStart w:id="355" w:name="_Toc132874751"/>
      <w:r w:rsidRPr="009D4254">
        <w:rPr>
          <w:szCs w:val="16"/>
          <w:lang w:val="fr-CA"/>
        </w:rPr>
        <w:t>[</w:t>
      </w:r>
      <w:r w:rsidR="00DD369C" w:rsidRPr="009D4254">
        <w:rPr>
          <w:szCs w:val="16"/>
          <w:lang w:val="fr-CA"/>
        </w:rPr>
        <w:t>Questions relatives à l’indemnisation</w:t>
      </w:r>
      <w:r w:rsidRPr="009D4254">
        <w:rPr>
          <w:snapToGrid w:val="0"/>
          <w:szCs w:val="16"/>
          <w:lang w:val="fr-CA"/>
        </w:rPr>
        <w:t>.</w:t>
      </w:r>
      <w:bookmarkEnd w:id="354"/>
      <w:bookmarkEnd w:id="355"/>
    </w:p>
    <w:p w14:paraId="3CBFF5ED" w14:textId="39A22B1A" w:rsidR="00037C7E" w:rsidRPr="0059083D" w:rsidRDefault="000B08F2" w:rsidP="00DD369C">
      <w:pPr>
        <w:pStyle w:val="StandardCont2"/>
        <w:rPr>
          <w:lang w:val="fr-CA"/>
        </w:rPr>
      </w:pPr>
      <w:r w:rsidRPr="009D4254">
        <w:rPr>
          <w:snapToGrid w:val="0"/>
          <w:lang w:val="fr-CA"/>
        </w:rPr>
        <w:t xml:space="preserve">La Société </w:t>
      </w:r>
      <w:r w:rsidR="00DD369C" w:rsidRPr="009D4254">
        <w:rPr>
          <w:snapToGrid w:val="0"/>
          <w:lang w:val="fr-CA"/>
        </w:rPr>
        <w:t>reconnaît par les présentes qu’un</w:t>
      </w:r>
      <w:bookmarkStart w:id="356" w:name="DocXTextRef287"/>
      <w:r w:rsidR="00ED2473">
        <w:rPr>
          <w:snapToGrid w:val="0"/>
          <w:lang w:val="fr-CA"/>
        </w:rPr>
        <w:t> </w:t>
      </w:r>
      <w:r w:rsidRPr="009D4254">
        <w:rPr>
          <w:snapToGrid w:val="0"/>
          <w:lang w:val="fr-CA"/>
        </w:rPr>
        <w:t>(</w:t>
      </w:r>
      <w:r w:rsidRPr="00986BEB">
        <w:rPr>
          <w:snapToGrid w:val="0"/>
          <w:lang w:val="fr-CA"/>
        </w:rPr>
        <w:t>1</w:t>
      </w:r>
      <w:r w:rsidRPr="009D4254">
        <w:rPr>
          <w:snapToGrid w:val="0"/>
          <w:lang w:val="fr-CA"/>
        </w:rPr>
        <w:t>)</w:t>
      </w:r>
      <w:bookmarkEnd w:id="356"/>
      <w:r w:rsidR="00DD369C" w:rsidRPr="009D4254">
        <w:rPr>
          <w:snapToGrid w:val="0"/>
          <w:lang w:val="fr-CA"/>
        </w:rPr>
        <w:t xml:space="preserve"> ou plusieurs des </w:t>
      </w:r>
      <w:r w:rsidR="004B6285" w:rsidRPr="009D4254">
        <w:rPr>
          <w:snapToGrid w:val="0"/>
          <w:lang w:val="fr-CA"/>
        </w:rPr>
        <w:t>Administrateurs privilégiés</w:t>
      </w:r>
      <w:r w:rsidRPr="009D4254">
        <w:rPr>
          <w:snapToGrid w:val="0"/>
          <w:lang w:val="fr-CA"/>
        </w:rPr>
        <w:t xml:space="preserve"> </w:t>
      </w:r>
      <w:r w:rsidR="00D74912">
        <w:rPr>
          <w:snapToGrid w:val="0"/>
          <w:lang w:val="fr-CA"/>
        </w:rPr>
        <w:t>dont la candidature est proposée</w:t>
      </w:r>
      <w:r w:rsidR="00DD369C" w:rsidRPr="009D4254">
        <w:rPr>
          <w:snapToGrid w:val="0"/>
          <w:lang w:val="fr-CA"/>
        </w:rPr>
        <w:t xml:space="preserve"> au </w:t>
      </w:r>
      <w:r w:rsidRPr="009D4254">
        <w:rPr>
          <w:snapToGrid w:val="0"/>
          <w:lang w:val="fr-CA"/>
        </w:rPr>
        <w:t xml:space="preserve">Conseil d’administration </w:t>
      </w:r>
      <w:r w:rsidR="00DD369C" w:rsidRPr="009D4254">
        <w:rPr>
          <w:snapToGrid w:val="0"/>
          <w:lang w:val="fr-CA"/>
        </w:rPr>
        <w:t>par un</w:t>
      </w:r>
      <w:r w:rsidR="00ED2473">
        <w:rPr>
          <w:snapToGrid w:val="0"/>
          <w:lang w:val="fr-CA"/>
        </w:rPr>
        <w:t> </w:t>
      </w:r>
      <w:r w:rsidRPr="009D4254">
        <w:rPr>
          <w:snapToGrid w:val="0"/>
          <w:lang w:val="fr-CA"/>
        </w:rPr>
        <w:t>(</w:t>
      </w:r>
      <w:r w:rsidRPr="00986BEB">
        <w:rPr>
          <w:snapToGrid w:val="0"/>
          <w:lang w:val="fr-CA"/>
        </w:rPr>
        <w:t>1</w:t>
      </w:r>
      <w:r w:rsidRPr="009D4254">
        <w:rPr>
          <w:snapToGrid w:val="0"/>
          <w:lang w:val="fr-CA"/>
        </w:rPr>
        <w:t xml:space="preserve">) </w:t>
      </w:r>
      <w:r w:rsidR="00DD369C" w:rsidRPr="009D4254">
        <w:rPr>
          <w:snapToGrid w:val="0"/>
          <w:lang w:val="fr-CA"/>
        </w:rPr>
        <w:t xml:space="preserve">ou plusieurs </w:t>
      </w:r>
      <w:r w:rsidR="000F37C7" w:rsidRPr="009D4254">
        <w:rPr>
          <w:snapToGrid w:val="0"/>
          <w:lang w:val="fr-CA"/>
        </w:rPr>
        <w:t>Investisseurs</w:t>
      </w:r>
      <w:r w:rsidRPr="009D4254">
        <w:rPr>
          <w:snapToGrid w:val="0"/>
          <w:lang w:val="fr-CA"/>
        </w:rPr>
        <w:t xml:space="preserve"> </w:t>
      </w:r>
      <w:r w:rsidR="00DD369C" w:rsidRPr="009D4254">
        <w:rPr>
          <w:snapToGrid w:val="0"/>
          <w:lang w:val="fr-CA"/>
        </w:rPr>
        <w:t>peuvent avoir certains droits en matière d’indemnisation</w:t>
      </w:r>
      <w:r w:rsidRPr="009D4254">
        <w:rPr>
          <w:snapToGrid w:val="0"/>
          <w:lang w:val="fr-CA"/>
        </w:rPr>
        <w:t xml:space="preserve">, </w:t>
      </w:r>
      <w:r w:rsidR="00DD369C" w:rsidRPr="009D4254">
        <w:rPr>
          <w:snapToGrid w:val="0"/>
          <w:lang w:val="fr-CA"/>
        </w:rPr>
        <w:t xml:space="preserve">d’avance des dépenses </w:t>
      </w:r>
      <w:r w:rsidRPr="009D4254">
        <w:rPr>
          <w:snapToGrid w:val="0"/>
          <w:lang w:val="fr-CA"/>
        </w:rPr>
        <w:t xml:space="preserve">et/ou </w:t>
      </w:r>
      <w:r w:rsidR="00DD369C" w:rsidRPr="009D4254">
        <w:rPr>
          <w:snapToGrid w:val="0"/>
          <w:lang w:val="fr-CA"/>
        </w:rPr>
        <w:t xml:space="preserve">d’assurance </w:t>
      </w:r>
      <w:r w:rsidR="0014633A">
        <w:rPr>
          <w:snapToGrid w:val="0"/>
          <w:lang w:val="fr-CA"/>
        </w:rPr>
        <w:t xml:space="preserve">qui leur sont </w:t>
      </w:r>
      <w:r w:rsidR="00DD369C" w:rsidRPr="009D4254">
        <w:rPr>
          <w:snapToGrid w:val="0"/>
          <w:lang w:val="fr-CA"/>
        </w:rPr>
        <w:t xml:space="preserve">accordés par un </w:t>
      </w:r>
      <w:r w:rsidRPr="009D4254">
        <w:rPr>
          <w:snapToGrid w:val="0"/>
          <w:lang w:val="fr-CA"/>
        </w:rPr>
        <w:t>(</w:t>
      </w:r>
      <w:r w:rsidRPr="00986BEB">
        <w:rPr>
          <w:snapToGrid w:val="0"/>
          <w:lang w:val="fr-CA"/>
        </w:rPr>
        <w:t>1</w:t>
      </w:r>
      <w:r w:rsidRPr="009D4254">
        <w:rPr>
          <w:snapToGrid w:val="0"/>
          <w:lang w:val="fr-CA"/>
        </w:rPr>
        <w:t xml:space="preserve">) </w:t>
      </w:r>
      <w:r w:rsidR="00DD369C" w:rsidRPr="009D4254">
        <w:rPr>
          <w:snapToGrid w:val="0"/>
          <w:lang w:val="fr-CA"/>
        </w:rPr>
        <w:t xml:space="preserve">ou plusieurs </w:t>
      </w:r>
      <w:r w:rsidRPr="009D4254">
        <w:rPr>
          <w:snapToGrid w:val="0"/>
          <w:lang w:val="fr-CA"/>
        </w:rPr>
        <w:t xml:space="preserve">Investisseurs </w:t>
      </w:r>
      <w:r w:rsidR="00DD369C" w:rsidRPr="009D4254">
        <w:rPr>
          <w:snapToGrid w:val="0"/>
          <w:lang w:val="fr-CA"/>
        </w:rPr>
        <w:t xml:space="preserve">et certains </w:t>
      </w:r>
      <w:r w:rsidRPr="009D4254">
        <w:rPr>
          <w:snapToGrid w:val="0"/>
          <w:lang w:val="fr-CA"/>
        </w:rPr>
        <w:t xml:space="preserve">Membres du même groupe </w:t>
      </w:r>
      <w:r w:rsidR="00DD369C" w:rsidRPr="009D4254">
        <w:rPr>
          <w:snapToGrid w:val="0"/>
          <w:lang w:val="fr-CA"/>
        </w:rPr>
        <w:t xml:space="preserve">qu’eux </w:t>
      </w:r>
      <w:r w:rsidRPr="009D4254">
        <w:rPr>
          <w:snapToGrid w:val="0"/>
          <w:lang w:val="fr-CA"/>
        </w:rPr>
        <w:t>(collective</w:t>
      </w:r>
      <w:r w:rsidR="00DD369C" w:rsidRPr="009D4254">
        <w:rPr>
          <w:snapToGrid w:val="0"/>
          <w:lang w:val="fr-CA"/>
        </w:rPr>
        <w:t>ment</w:t>
      </w:r>
      <w:r w:rsidRPr="009D4254">
        <w:rPr>
          <w:snapToGrid w:val="0"/>
          <w:lang w:val="fr-CA"/>
        </w:rPr>
        <w:t xml:space="preserve">, </w:t>
      </w:r>
      <w:r w:rsidR="00DD369C" w:rsidRPr="009D4254">
        <w:rPr>
          <w:snapToGrid w:val="0"/>
          <w:lang w:val="fr-CA"/>
        </w:rPr>
        <w:t xml:space="preserve">les </w:t>
      </w:r>
      <w:r w:rsidRPr="009D4254">
        <w:rPr>
          <w:snapToGrid w:val="0"/>
          <w:lang w:val="fr-CA"/>
        </w:rPr>
        <w:t>« </w:t>
      </w:r>
      <w:r w:rsidR="00437FEB" w:rsidRPr="000621ED">
        <w:rPr>
          <w:b/>
          <w:snapToGrid w:val="0"/>
          <w:lang w:val="fr-CA"/>
        </w:rPr>
        <w:t>Garants investisseurs</w:t>
      </w:r>
      <w:r w:rsidR="00DD369C" w:rsidRPr="000621ED">
        <w:rPr>
          <w:snapToGrid w:val="0"/>
          <w:lang w:val="fr-CA"/>
        </w:rPr>
        <w:t> »</w:t>
      </w:r>
      <w:r w:rsidRPr="000621ED">
        <w:rPr>
          <w:snapToGrid w:val="0"/>
          <w:lang w:val="fr-CA"/>
        </w:rPr>
        <w:t xml:space="preserve">). La Société </w:t>
      </w:r>
      <w:r w:rsidR="00DD369C" w:rsidRPr="000621ED">
        <w:rPr>
          <w:snapToGrid w:val="0"/>
          <w:lang w:val="fr-CA"/>
        </w:rPr>
        <w:t xml:space="preserve">convient par les présentes </w:t>
      </w:r>
      <w:bookmarkStart w:id="357" w:name="DocXTextRef288"/>
      <w:r w:rsidRPr="000621ED">
        <w:rPr>
          <w:snapToGrid w:val="0"/>
          <w:lang w:val="fr-CA"/>
        </w:rPr>
        <w:t>a)</w:t>
      </w:r>
      <w:bookmarkEnd w:id="357"/>
      <w:r w:rsidR="00DD369C" w:rsidRPr="000621ED">
        <w:rPr>
          <w:snapToGrid w:val="0"/>
          <w:lang w:val="fr-CA"/>
        </w:rPr>
        <w:t xml:space="preserve"> qu’elle est le garant de premier ressort (c.-à-d. que ses obligations envers un </w:t>
      </w:r>
      <w:r w:rsidR="00437FEB" w:rsidRPr="000621ED">
        <w:rPr>
          <w:snapToGrid w:val="0"/>
          <w:lang w:val="fr-CA"/>
        </w:rPr>
        <w:t xml:space="preserve">tel </w:t>
      </w:r>
      <w:r w:rsidR="00DD369C" w:rsidRPr="000621ED">
        <w:rPr>
          <w:snapToGrid w:val="0"/>
          <w:lang w:val="fr-CA"/>
        </w:rPr>
        <w:t xml:space="preserve">Administrateur privilégié sont prioritaires et que les obligations des </w:t>
      </w:r>
      <w:r w:rsidR="00437FEB" w:rsidRPr="000621ED">
        <w:rPr>
          <w:snapToGrid w:val="0"/>
          <w:lang w:val="fr-CA"/>
        </w:rPr>
        <w:t>Garants investisseurs</w:t>
      </w:r>
      <w:r w:rsidR="00DD369C" w:rsidRPr="000621ED">
        <w:rPr>
          <w:snapToGrid w:val="0"/>
          <w:lang w:val="fr-CA"/>
        </w:rPr>
        <w:t xml:space="preserve"> </w:t>
      </w:r>
      <w:r w:rsidR="00437FEB" w:rsidRPr="000621ED">
        <w:rPr>
          <w:snapToGrid w:val="0"/>
          <w:lang w:val="fr-CA"/>
        </w:rPr>
        <w:t>en matière d</w:t>
      </w:r>
      <w:r w:rsidR="00DD369C" w:rsidRPr="000621ED">
        <w:rPr>
          <w:snapToGrid w:val="0"/>
          <w:lang w:val="fr-CA"/>
        </w:rPr>
        <w:t xml:space="preserve">’avance des dépenses ou </w:t>
      </w:r>
      <w:r w:rsidR="00437FEB" w:rsidRPr="000621ED">
        <w:rPr>
          <w:snapToGrid w:val="0"/>
          <w:lang w:val="fr-CA"/>
        </w:rPr>
        <w:t>d</w:t>
      </w:r>
      <w:r w:rsidR="00DD369C" w:rsidRPr="000621ED">
        <w:rPr>
          <w:snapToGrid w:val="0"/>
          <w:lang w:val="fr-CA"/>
        </w:rPr>
        <w:t xml:space="preserve">’indemnisation des dépenses engagées ou des responsabilités contractées par l’Administrateur privilégié sont secondaires), b) qu’elle est tenue d’avancer le montant total des dépenses engagées par l’Administrateur privilégié et est responsable de la totalité des dépenses, des jugements, des pénalités, des amendes et des montants payés dans le cadre d’un règlement par </w:t>
      </w:r>
      <w:r w:rsidR="00603154" w:rsidRPr="000621ED">
        <w:rPr>
          <w:snapToGrid w:val="0"/>
          <w:lang w:val="fr-CA"/>
        </w:rPr>
        <w:t>l’</w:t>
      </w:r>
      <w:r w:rsidR="00DD369C" w:rsidRPr="000621ED">
        <w:rPr>
          <w:snapToGrid w:val="0"/>
          <w:lang w:val="fr-CA"/>
        </w:rPr>
        <w:t xml:space="preserve">Administrateur privilégié ou en son nom, dans la mesure permise par la loi et comme l’exigent les Statuts ou les </w:t>
      </w:r>
      <w:r w:rsidR="0033655C" w:rsidRPr="000621ED">
        <w:rPr>
          <w:snapToGrid w:val="0"/>
          <w:lang w:val="fr-CA"/>
        </w:rPr>
        <w:t>R</w:t>
      </w:r>
      <w:r w:rsidR="00DD369C" w:rsidRPr="000621ED">
        <w:rPr>
          <w:snapToGrid w:val="0"/>
          <w:lang w:val="fr-CA"/>
        </w:rPr>
        <w:t xml:space="preserve">èglements administratifs de la Société (ou toute convention intervenue entre la Société et l’Administrateur privilégié), sans égard aux droits que l’Administrateur privilégié peut avoir à l’encontre des </w:t>
      </w:r>
      <w:r w:rsidR="00437FEB" w:rsidRPr="000621ED">
        <w:rPr>
          <w:snapToGrid w:val="0"/>
          <w:lang w:val="fr-CA"/>
        </w:rPr>
        <w:t>Garants investisseurs</w:t>
      </w:r>
      <w:r w:rsidR="00DD369C" w:rsidRPr="000621ED">
        <w:rPr>
          <w:snapToGrid w:val="0"/>
          <w:lang w:val="fr-CA"/>
        </w:rPr>
        <w:t xml:space="preserve">, et c) qu’elle exonère et dégage irrévocablement les </w:t>
      </w:r>
      <w:r w:rsidR="00437FEB" w:rsidRPr="000621ED">
        <w:rPr>
          <w:snapToGrid w:val="0"/>
          <w:lang w:val="fr-CA"/>
        </w:rPr>
        <w:t>Garants investisseurs</w:t>
      </w:r>
      <w:r w:rsidR="00DD369C" w:rsidRPr="000621ED">
        <w:rPr>
          <w:snapToGrid w:val="0"/>
          <w:lang w:val="fr-CA"/>
        </w:rPr>
        <w:t xml:space="preserve"> de toutes réclamations à leur encontre relativement aux contributions, subrogations ou autres recouvrements de quelque nature que ce soit à cet égard et renonce à toutes telles réclamations.</w:t>
      </w:r>
      <w:r w:rsidRPr="000621ED">
        <w:rPr>
          <w:snapToGrid w:val="0"/>
          <w:lang w:val="fr-CA"/>
        </w:rPr>
        <w:t xml:space="preserve"> </w:t>
      </w:r>
      <w:r w:rsidR="00DD369C" w:rsidRPr="000621ED">
        <w:rPr>
          <w:snapToGrid w:val="0"/>
          <w:lang w:val="fr-CA"/>
        </w:rPr>
        <w:t>La Société convient en outre qu’aucune</w:t>
      </w:r>
      <w:r w:rsidR="00DD369C">
        <w:rPr>
          <w:snapToGrid w:val="0"/>
          <w:lang w:val="fr-CA"/>
        </w:rPr>
        <w:t xml:space="preserve"> avance </w:t>
      </w:r>
      <w:r w:rsidR="00603154">
        <w:rPr>
          <w:snapToGrid w:val="0"/>
          <w:lang w:val="fr-CA"/>
        </w:rPr>
        <w:t xml:space="preserve">versée </w:t>
      </w:r>
      <w:r w:rsidR="00DD369C">
        <w:rPr>
          <w:snapToGrid w:val="0"/>
          <w:lang w:val="fr-CA"/>
        </w:rPr>
        <w:t xml:space="preserve">ni aucun paiement </w:t>
      </w:r>
      <w:r w:rsidR="00603154">
        <w:rPr>
          <w:snapToGrid w:val="0"/>
          <w:lang w:val="fr-CA"/>
        </w:rPr>
        <w:t xml:space="preserve">effectué </w:t>
      </w:r>
      <w:r w:rsidR="00DD369C">
        <w:rPr>
          <w:snapToGrid w:val="0"/>
          <w:lang w:val="fr-CA"/>
        </w:rPr>
        <w:t xml:space="preserve">par les </w:t>
      </w:r>
      <w:r w:rsidR="00437FEB">
        <w:rPr>
          <w:snapToGrid w:val="0"/>
          <w:lang w:val="fr-CA"/>
        </w:rPr>
        <w:t>Garants investisseurs</w:t>
      </w:r>
      <w:r w:rsidR="00DD369C">
        <w:rPr>
          <w:snapToGrid w:val="0"/>
          <w:lang w:val="fr-CA"/>
        </w:rPr>
        <w:t xml:space="preserve"> au nom d’un </w:t>
      </w:r>
      <w:r w:rsidR="00603154">
        <w:rPr>
          <w:snapToGrid w:val="0"/>
          <w:lang w:val="fr-CA"/>
        </w:rPr>
        <w:t xml:space="preserve">tel </w:t>
      </w:r>
      <w:r w:rsidR="00DD369C">
        <w:rPr>
          <w:snapToGrid w:val="0"/>
          <w:lang w:val="fr-CA"/>
        </w:rPr>
        <w:t xml:space="preserve">Administrateur privilégié relativement à une réclamation pour laquelle ce dernier a demandé une indemnisation de la Société n’a d’incidence sur ce qui précède, et que les </w:t>
      </w:r>
      <w:r w:rsidR="00437FEB">
        <w:rPr>
          <w:snapToGrid w:val="0"/>
          <w:lang w:val="fr-CA"/>
        </w:rPr>
        <w:t>Garants investisseurs</w:t>
      </w:r>
      <w:r w:rsidR="00DD369C">
        <w:rPr>
          <w:snapToGrid w:val="0"/>
          <w:lang w:val="fr-CA"/>
        </w:rPr>
        <w:t xml:space="preserve"> ont droit </w:t>
      </w:r>
      <w:r w:rsidR="00603154">
        <w:rPr>
          <w:snapToGrid w:val="0"/>
          <w:lang w:val="fr-CA"/>
        </w:rPr>
        <w:t xml:space="preserve">à </w:t>
      </w:r>
      <w:r w:rsidR="00DD369C">
        <w:rPr>
          <w:snapToGrid w:val="0"/>
          <w:lang w:val="fr-CA"/>
        </w:rPr>
        <w:t xml:space="preserve">une contribution et/ou </w:t>
      </w:r>
      <w:r w:rsidR="00603154">
        <w:rPr>
          <w:snapToGrid w:val="0"/>
          <w:lang w:val="fr-CA"/>
        </w:rPr>
        <w:t xml:space="preserve">sont </w:t>
      </w:r>
      <w:r w:rsidR="00DD369C">
        <w:rPr>
          <w:snapToGrid w:val="0"/>
          <w:lang w:val="fr-CA"/>
        </w:rPr>
        <w:t xml:space="preserve">subrogés, dans la mesure de l’avance ou du paiement, dans tous les droits de recouvrement de l’Administrateur privilégié à l’encontre de la Société. Les </w:t>
      </w:r>
      <w:bookmarkStart w:id="358" w:name="_Ref448380728"/>
      <w:r w:rsidR="004B6285" w:rsidRPr="009D4254">
        <w:rPr>
          <w:snapToGrid w:val="0"/>
          <w:lang w:val="fr-CA"/>
        </w:rPr>
        <w:t>Administrateurs privilégiés</w:t>
      </w:r>
      <w:r w:rsidR="004402CA" w:rsidRPr="009D4254">
        <w:rPr>
          <w:snapToGrid w:val="0"/>
          <w:lang w:val="fr-CA"/>
        </w:rPr>
        <w:t xml:space="preserve"> </w:t>
      </w:r>
      <w:r w:rsidR="00DD369C" w:rsidRPr="009D4254">
        <w:rPr>
          <w:snapToGrid w:val="0"/>
          <w:lang w:val="fr-CA"/>
        </w:rPr>
        <w:t xml:space="preserve">et les </w:t>
      </w:r>
      <w:r w:rsidR="00437FEB">
        <w:rPr>
          <w:snapToGrid w:val="0"/>
          <w:lang w:val="fr-CA"/>
        </w:rPr>
        <w:t>Garants investisseurs</w:t>
      </w:r>
      <w:r w:rsidR="00DD369C" w:rsidRPr="009D4254">
        <w:rPr>
          <w:snapToGrid w:val="0"/>
          <w:lang w:val="fr-CA"/>
        </w:rPr>
        <w:t xml:space="preserve"> sont les tiers bénéficiaires visés par le </w:t>
      </w:r>
      <w:r w:rsidR="0059083D" w:rsidRPr="009D4254">
        <w:rPr>
          <w:snapToGrid w:val="0"/>
          <w:lang w:val="fr-CA"/>
        </w:rPr>
        <w:t>présent</w:t>
      </w:r>
      <w:r w:rsidR="004402CA" w:rsidRPr="009D4254">
        <w:rPr>
          <w:snapToGrid w:val="0"/>
          <w:lang w:val="fr-CA"/>
        </w:rPr>
        <w:t xml:space="preserve"> </w:t>
      </w:r>
      <w:r w:rsidR="002A0F83" w:rsidRPr="009D4254">
        <w:rPr>
          <w:snapToGrid w:val="0"/>
          <w:u w:val="single"/>
          <w:lang w:val="fr-CA"/>
        </w:rPr>
        <w:t>paragraphe </w:t>
      </w:r>
      <w:r w:rsidR="009F1BC7" w:rsidRPr="00986BEB">
        <w:rPr>
          <w:snapToGrid w:val="0"/>
          <w:u w:val="single"/>
          <w:lang w:val="fr-CA"/>
        </w:rPr>
        <w:fldChar w:fldCharType="begin"/>
      </w:r>
      <w:r w:rsidR="00F251F0" w:rsidRPr="00986BEB">
        <w:rPr>
          <w:snapToGrid w:val="0"/>
          <w:u w:val="single"/>
          <w:lang w:val="fr-CA"/>
        </w:rPr>
        <w:instrText xml:space="preserve"> REF _Ref448380654 \r \h  \* MERGEFORMAT </w:instrText>
      </w:r>
      <w:r w:rsidR="009F1BC7" w:rsidRPr="00986BEB">
        <w:rPr>
          <w:snapToGrid w:val="0"/>
          <w:u w:val="single"/>
          <w:lang w:val="fr-CA"/>
        </w:rPr>
      </w:r>
      <w:r w:rsidR="009F1BC7" w:rsidRPr="00986BEB">
        <w:rPr>
          <w:snapToGrid w:val="0"/>
          <w:u w:val="single"/>
          <w:lang w:val="fr-CA"/>
        </w:rPr>
        <w:fldChar w:fldCharType="separate"/>
      </w:r>
      <w:r w:rsidR="00AE1D96">
        <w:rPr>
          <w:snapToGrid w:val="0"/>
          <w:u w:val="single"/>
          <w:lang w:val="fr-CA"/>
        </w:rPr>
        <w:t>5.8</w:t>
      </w:r>
      <w:r w:rsidR="009F1BC7" w:rsidRPr="00986BEB">
        <w:rPr>
          <w:snapToGrid w:val="0"/>
          <w:u w:val="single"/>
          <w:lang w:val="fr-CA"/>
        </w:rPr>
        <w:fldChar w:fldCharType="end"/>
      </w:r>
      <w:r w:rsidR="004402CA" w:rsidRPr="009D4254">
        <w:rPr>
          <w:snapToGrid w:val="0"/>
          <w:lang w:val="fr-CA"/>
        </w:rPr>
        <w:t xml:space="preserve"> </w:t>
      </w:r>
      <w:r w:rsidR="00DD369C" w:rsidRPr="009D4254">
        <w:rPr>
          <w:snapToGrid w:val="0"/>
          <w:lang w:val="fr-CA"/>
        </w:rPr>
        <w:t xml:space="preserve">et ont le droit et le pouvoir de faire appliquer les dispositions du </w:t>
      </w:r>
      <w:r w:rsidR="0059083D" w:rsidRPr="009D4254">
        <w:rPr>
          <w:snapToGrid w:val="0"/>
          <w:lang w:val="fr-CA"/>
        </w:rPr>
        <w:t>présent</w:t>
      </w:r>
      <w:r w:rsidR="004402CA" w:rsidRPr="009D4254">
        <w:rPr>
          <w:snapToGrid w:val="0"/>
          <w:lang w:val="fr-CA"/>
        </w:rPr>
        <w:t xml:space="preserve"> </w:t>
      </w:r>
      <w:r w:rsidR="002A0F83" w:rsidRPr="009D4254">
        <w:rPr>
          <w:snapToGrid w:val="0"/>
          <w:u w:val="single"/>
          <w:lang w:val="fr-CA"/>
        </w:rPr>
        <w:t>paragraphe </w:t>
      </w:r>
      <w:r w:rsidR="009F1BC7" w:rsidRPr="00986BEB">
        <w:rPr>
          <w:snapToGrid w:val="0"/>
          <w:u w:val="single"/>
          <w:lang w:val="fr-CA"/>
        </w:rPr>
        <w:fldChar w:fldCharType="begin"/>
      </w:r>
      <w:r w:rsidR="00F251F0" w:rsidRPr="00986BEB">
        <w:rPr>
          <w:snapToGrid w:val="0"/>
          <w:u w:val="single"/>
          <w:lang w:val="fr-CA"/>
        </w:rPr>
        <w:instrText xml:space="preserve"> REF _Ref448380654 \r \h  \* MERGEFORMAT </w:instrText>
      </w:r>
      <w:r w:rsidR="009F1BC7" w:rsidRPr="00986BEB">
        <w:rPr>
          <w:snapToGrid w:val="0"/>
          <w:u w:val="single"/>
          <w:lang w:val="fr-CA"/>
        </w:rPr>
      </w:r>
      <w:r w:rsidR="009F1BC7" w:rsidRPr="00986BEB">
        <w:rPr>
          <w:snapToGrid w:val="0"/>
          <w:u w:val="single"/>
          <w:lang w:val="fr-CA"/>
        </w:rPr>
        <w:fldChar w:fldCharType="separate"/>
      </w:r>
      <w:r w:rsidR="00AE1D96">
        <w:rPr>
          <w:snapToGrid w:val="0"/>
          <w:u w:val="single"/>
          <w:lang w:val="fr-CA"/>
        </w:rPr>
        <w:t>5.8</w:t>
      </w:r>
      <w:r w:rsidR="009F1BC7" w:rsidRPr="00986BEB">
        <w:rPr>
          <w:snapToGrid w:val="0"/>
          <w:u w:val="single"/>
          <w:lang w:val="fr-CA"/>
        </w:rPr>
        <w:fldChar w:fldCharType="end"/>
      </w:r>
      <w:r w:rsidR="004402CA" w:rsidRPr="009D4254">
        <w:rPr>
          <w:snapToGrid w:val="0"/>
          <w:lang w:val="fr-CA"/>
        </w:rPr>
        <w:t xml:space="preserve"> </w:t>
      </w:r>
      <w:r w:rsidR="00DD369C" w:rsidRPr="009D4254">
        <w:rPr>
          <w:snapToGrid w:val="0"/>
          <w:lang w:val="fr-CA"/>
        </w:rPr>
        <w:t xml:space="preserve">comme s’ils étaient partie à </w:t>
      </w:r>
      <w:r w:rsidRPr="009D4254">
        <w:rPr>
          <w:snapToGrid w:val="0"/>
          <w:lang w:val="fr-CA"/>
        </w:rPr>
        <w:t>la présente Convention</w:t>
      </w:r>
      <w:r w:rsidR="00437FEB" w:rsidRPr="00986BEB">
        <w:rPr>
          <w:rStyle w:val="FootnoteReference"/>
          <w:snapToGrid w:val="0"/>
          <w:lang w:val="fr-CA"/>
        </w:rPr>
        <w:footnoteReference w:id="61"/>
      </w:r>
      <w:r w:rsidR="004402CA" w:rsidRPr="009D4254">
        <w:rPr>
          <w:snapToGrid w:val="0"/>
          <w:lang w:val="fr-CA"/>
        </w:rPr>
        <w:t>.]</w:t>
      </w:r>
      <w:bookmarkEnd w:id="358"/>
    </w:p>
    <w:p w14:paraId="2B4A59C5" w14:textId="78E5356D" w:rsidR="00037C7E" w:rsidRPr="00986BEB" w:rsidRDefault="000B08F2">
      <w:pPr>
        <w:pStyle w:val="StandardL2"/>
        <w:rPr>
          <w:lang w:val="fr-CA"/>
        </w:rPr>
      </w:pPr>
      <w:bookmarkStart w:id="359" w:name="_Ref448380655"/>
      <w:bookmarkStart w:id="360" w:name="_Toc132874752"/>
      <w:r w:rsidRPr="0033655C">
        <w:rPr>
          <w:lang w:val="fr-CA"/>
        </w:rPr>
        <w:t>[</w:t>
      </w:r>
      <w:r w:rsidR="0033655C" w:rsidRPr="0033655C">
        <w:rPr>
          <w:lang w:val="fr-CA"/>
        </w:rPr>
        <w:t>Droit d’exercer les activités</w:t>
      </w:r>
      <w:r w:rsidRPr="0033655C">
        <w:rPr>
          <w:lang w:val="fr-CA"/>
        </w:rPr>
        <w:t>.</w:t>
      </w:r>
      <w:bookmarkEnd w:id="359"/>
      <w:bookmarkEnd w:id="360"/>
    </w:p>
    <w:p w14:paraId="5E6297C8" w14:textId="5F41CDDB" w:rsidR="00037C7E" w:rsidRPr="0059083D" w:rsidRDefault="000B08F2">
      <w:pPr>
        <w:pStyle w:val="StandardCont2"/>
        <w:rPr>
          <w:lang w:val="fr-CA"/>
        </w:rPr>
      </w:pPr>
      <w:r w:rsidRPr="0059083D">
        <w:rPr>
          <w:lang w:val="fr-CA"/>
        </w:rPr>
        <w:t xml:space="preserve">La Société </w:t>
      </w:r>
      <w:r w:rsidR="00DD369C">
        <w:rPr>
          <w:lang w:val="fr-CA"/>
        </w:rPr>
        <w:t xml:space="preserve">convient et reconnaît par les présentes que </w:t>
      </w:r>
      <w:r w:rsidRPr="0059083D">
        <w:rPr>
          <w:lang w:val="fr-CA"/>
        </w:rPr>
        <w:t>[</w:t>
      </w:r>
      <w:r w:rsidR="00DD369C">
        <w:rPr>
          <w:lang w:val="fr-CA"/>
        </w:rPr>
        <w:t>dénomination de l’entité de capital de risque</w:t>
      </w:r>
      <w:r w:rsidR="0033655C" w:rsidRPr="00986BEB">
        <w:rPr>
          <w:rStyle w:val="FootnoteReference"/>
          <w:lang w:val="fr-CA"/>
        </w:rPr>
        <w:footnoteReference w:id="62"/>
      </w:r>
      <w:r w:rsidRPr="0059083D">
        <w:rPr>
          <w:lang w:val="fr-CA"/>
        </w:rPr>
        <w:t>] (</w:t>
      </w:r>
      <w:r w:rsidR="00DD369C">
        <w:rPr>
          <w:lang w:val="fr-CA"/>
        </w:rPr>
        <w:t xml:space="preserve">avec les </w:t>
      </w:r>
      <w:r w:rsidRPr="0059083D">
        <w:rPr>
          <w:lang w:val="fr-CA"/>
        </w:rPr>
        <w:t>Membres du même groupe</w:t>
      </w:r>
      <w:r w:rsidR="00DD369C">
        <w:rPr>
          <w:lang w:val="fr-CA"/>
        </w:rPr>
        <w:t xml:space="preserve"> qu’elle</w:t>
      </w:r>
      <w:r w:rsidRPr="0059083D">
        <w:rPr>
          <w:lang w:val="fr-CA"/>
        </w:rPr>
        <w:t xml:space="preserve">) </w:t>
      </w:r>
      <w:r w:rsidR="00DD369C">
        <w:rPr>
          <w:lang w:val="fr-CA"/>
        </w:rPr>
        <w:t>est un organisme de placement professionnel et que, à ce titre, elle examine les plans d’affaires et les renseignements exclusifs connexes de nombreuses entreprises et investit dans de nombreuses sociétés de portefeuille</w:t>
      </w:r>
      <w:r w:rsidRPr="0059083D">
        <w:rPr>
          <w:lang w:val="fr-CA"/>
        </w:rPr>
        <w:t xml:space="preserve">, </w:t>
      </w:r>
      <w:r w:rsidR="00DD369C">
        <w:rPr>
          <w:lang w:val="fr-CA"/>
        </w:rPr>
        <w:t xml:space="preserve">dont certaines peuvent faire concurrence </w:t>
      </w:r>
      <w:r w:rsidR="004E1041">
        <w:rPr>
          <w:lang w:val="fr-CA"/>
        </w:rPr>
        <w:t>directement ou indirectement</w:t>
      </w:r>
      <w:r w:rsidRPr="0059083D">
        <w:rPr>
          <w:lang w:val="fr-CA"/>
        </w:rPr>
        <w:t xml:space="preserve"> </w:t>
      </w:r>
      <w:r w:rsidR="00DD369C">
        <w:rPr>
          <w:lang w:val="fr-CA"/>
        </w:rPr>
        <w:t xml:space="preserve">aux activités de la </w:t>
      </w:r>
      <w:r w:rsidRPr="0059083D">
        <w:rPr>
          <w:lang w:val="fr-CA"/>
        </w:rPr>
        <w:t>Société (</w:t>
      </w:r>
      <w:r w:rsidR="00DD369C">
        <w:rPr>
          <w:lang w:val="fr-CA"/>
        </w:rPr>
        <w:t>telles qu’elles sont exercées actuellement ou telles qu’elles devraient l’être selon les plans actuels</w:t>
      </w:r>
      <w:r w:rsidRPr="0059083D">
        <w:rPr>
          <w:lang w:val="fr-CA"/>
        </w:rPr>
        <w:t xml:space="preserve">). </w:t>
      </w:r>
      <w:r w:rsidR="00B62E5B" w:rsidRPr="0059083D">
        <w:rPr>
          <w:szCs w:val="24"/>
          <w:lang w:val="fr-CA" w:eastAsia="ko-KR"/>
        </w:rPr>
        <w:t>[</w:t>
      </w:r>
      <w:r w:rsidR="00DD369C">
        <w:rPr>
          <w:szCs w:val="24"/>
          <w:lang w:val="fr-CA" w:eastAsia="ko-KR"/>
        </w:rPr>
        <w:t xml:space="preserve">Aucune disposition de </w:t>
      </w:r>
      <w:r w:rsidRPr="0059083D">
        <w:rPr>
          <w:szCs w:val="24"/>
          <w:lang w:val="fr-CA" w:eastAsia="ko-KR"/>
        </w:rPr>
        <w:t>la présente Convention</w:t>
      </w:r>
      <w:r w:rsidR="00B62E5B" w:rsidRPr="0059083D">
        <w:rPr>
          <w:szCs w:val="24"/>
          <w:lang w:val="fr-CA" w:eastAsia="ko-KR"/>
        </w:rPr>
        <w:t xml:space="preserve"> </w:t>
      </w:r>
      <w:r w:rsidR="00DD369C">
        <w:rPr>
          <w:szCs w:val="24"/>
          <w:lang w:val="fr-CA" w:eastAsia="ko-KR"/>
        </w:rPr>
        <w:t xml:space="preserve">n’empêche </w:t>
      </w:r>
      <w:r w:rsidRPr="0059083D">
        <w:rPr>
          <w:szCs w:val="24"/>
          <w:lang w:val="fr-CA" w:eastAsia="ko-KR"/>
        </w:rPr>
        <w:t>les Investisseurs</w:t>
      </w:r>
      <w:r w:rsidR="00B62E5B" w:rsidRPr="0059083D">
        <w:rPr>
          <w:szCs w:val="24"/>
          <w:lang w:val="fr-CA" w:eastAsia="ko-KR"/>
        </w:rPr>
        <w:t xml:space="preserve"> </w:t>
      </w:r>
      <w:r w:rsidR="00DD369C">
        <w:rPr>
          <w:szCs w:val="24"/>
          <w:lang w:val="fr-CA" w:eastAsia="ko-KR"/>
        </w:rPr>
        <w:t xml:space="preserve">d’évaluer ou d’acheter des </w:t>
      </w:r>
      <w:r w:rsidR="007C4E71" w:rsidRPr="0059083D">
        <w:rPr>
          <w:szCs w:val="24"/>
          <w:lang w:val="fr-CA" w:eastAsia="ko-KR"/>
        </w:rPr>
        <w:t>titres</w:t>
      </w:r>
      <w:r w:rsidR="00B62E5B" w:rsidRPr="0059083D">
        <w:rPr>
          <w:szCs w:val="24"/>
          <w:lang w:val="fr-CA" w:eastAsia="ko-KR"/>
        </w:rPr>
        <w:t xml:space="preserve">, </w:t>
      </w:r>
      <w:r w:rsidR="00DD369C">
        <w:rPr>
          <w:szCs w:val="24"/>
          <w:lang w:val="fr-CA" w:eastAsia="ko-KR"/>
        </w:rPr>
        <w:t>y compris des titres cotés en bourse</w:t>
      </w:r>
      <w:r w:rsidR="00B62E5B" w:rsidRPr="0059083D">
        <w:rPr>
          <w:szCs w:val="24"/>
          <w:lang w:val="fr-CA" w:eastAsia="ko-KR"/>
        </w:rPr>
        <w:t xml:space="preserve">, </w:t>
      </w:r>
      <w:r w:rsidR="00DD369C">
        <w:rPr>
          <w:szCs w:val="24"/>
          <w:lang w:val="fr-CA" w:eastAsia="ko-KR"/>
        </w:rPr>
        <w:t>d’une entreprise en particulier, ou d’investir dans une entreprise en particulier ou d’y participer</w:t>
      </w:r>
      <w:r w:rsidR="0086447B" w:rsidRPr="009D4254">
        <w:rPr>
          <w:snapToGrid w:val="0"/>
          <w:lang w:val="fr-CA"/>
        </w:rPr>
        <w:t xml:space="preserve">, ni ne leur impose </w:t>
      </w:r>
      <w:r w:rsidR="006F2B74">
        <w:rPr>
          <w:snapToGrid w:val="0"/>
          <w:lang w:val="fr-CA"/>
        </w:rPr>
        <w:t xml:space="preserve">quelque </w:t>
      </w:r>
      <w:r w:rsidR="0086447B" w:rsidRPr="009D4254">
        <w:rPr>
          <w:snapToGrid w:val="0"/>
          <w:lang w:val="fr-CA"/>
        </w:rPr>
        <w:t>restriction</w:t>
      </w:r>
      <w:r w:rsidR="006F2B74">
        <w:rPr>
          <w:snapToGrid w:val="0"/>
          <w:lang w:val="fr-CA"/>
        </w:rPr>
        <w:t xml:space="preserve"> que ce soit </w:t>
      </w:r>
      <w:r w:rsidR="0086447B" w:rsidRPr="009D4254">
        <w:rPr>
          <w:snapToGrid w:val="0"/>
          <w:lang w:val="fr-CA"/>
        </w:rPr>
        <w:t>à cet égard,</w:t>
      </w:r>
      <w:r w:rsidR="0086447B">
        <w:rPr>
          <w:snapToGrid w:val="0"/>
          <w:lang w:val="fr-CA"/>
        </w:rPr>
        <w:t xml:space="preserve"> </w:t>
      </w:r>
      <w:r w:rsidR="00DD369C">
        <w:rPr>
          <w:szCs w:val="24"/>
          <w:lang w:val="fr-CA" w:eastAsia="ko-KR"/>
        </w:rPr>
        <w:t xml:space="preserve">que </w:t>
      </w:r>
      <w:r w:rsidR="006F2B74">
        <w:rPr>
          <w:szCs w:val="24"/>
          <w:lang w:val="fr-CA" w:eastAsia="ko-KR"/>
        </w:rPr>
        <w:t>l’</w:t>
      </w:r>
      <w:r w:rsidR="00DD369C">
        <w:rPr>
          <w:szCs w:val="24"/>
          <w:lang w:val="fr-CA" w:eastAsia="ko-KR"/>
        </w:rPr>
        <w:t xml:space="preserve">entreprise </w:t>
      </w:r>
      <w:r w:rsidR="006F2B74">
        <w:rPr>
          <w:szCs w:val="24"/>
          <w:lang w:val="fr-CA" w:eastAsia="ko-KR"/>
        </w:rPr>
        <w:t xml:space="preserve">en question </w:t>
      </w:r>
      <w:r w:rsidR="00DD369C">
        <w:rPr>
          <w:szCs w:val="24"/>
          <w:lang w:val="fr-CA" w:eastAsia="ko-KR"/>
        </w:rPr>
        <w:t>ait ou no</w:t>
      </w:r>
      <w:r w:rsidR="0086447B">
        <w:rPr>
          <w:szCs w:val="24"/>
          <w:lang w:val="fr-CA" w:eastAsia="ko-KR"/>
        </w:rPr>
        <w:t>n</w:t>
      </w:r>
      <w:r w:rsidR="00DD369C">
        <w:rPr>
          <w:szCs w:val="24"/>
          <w:lang w:val="fr-CA" w:eastAsia="ko-KR"/>
        </w:rPr>
        <w:t xml:space="preserve"> des produits ou services qui font concurrence à ceux de </w:t>
      </w:r>
      <w:r w:rsidRPr="0059083D">
        <w:rPr>
          <w:szCs w:val="24"/>
          <w:lang w:val="fr-CA" w:eastAsia="ko-KR"/>
        </w:rPr>
        <w:t>la Société</w:t>
      </w:r>
      <w:r w:rsidR="00B62E5B" w:rsidRPr="0059083D">
        <w:rPr>
          <w:szCs w:val="24"/>
          <w:lang w:val="fr-CA" w:eastAsia="ko-KR"/>
        </w:rPr>
        <w:t xml:space="preserve">; </w:t>
      </w:r>
      <w:r w:rsidR="00DD369C">
        <w:rPr>
          <w:szCs w:val="24"/>
          <w:lang w:val="fr-CA" w:eastAsia="ko-KR"/>
        </w:rPr>
        <w:t>et</w:t>
      </w:r>
      <w:r w:rsidR="00B62E5B" w:rsidRPr="0059083D">
        <w:rPr>
          <w:szCs w:val="24"/>
          <w:lang w:val="fr-CA" w:eastAsia="ko-KR"/>
        </w:rPr>
        <w:t xml:space="preserve">] </w:t>
      </w:r>
      <w:r w:rsidR="00523C36" w:rsidRPr="008727EB">
        <w:rPr>
          <w:szCs w:val="24"/>
          <w:lang w:val="fr-CA" w:eastAsia="ko-KR"/>
        </w:rPr>
        <w:t>[</w:t>
      </w:r>
      <w:r w:rsidRPr="008727EB">
        <w:rPr>
          <w:szCs w:val="24"/>
          <w:lang w:val="fr-CA" w:eastAsia="ko-KR"/>
        </w:rPr>
        <w:t xml:space="preserve">la </w:t>
      </w:r>
      <w:r w:rsidR="00523C36" w:rsidRPr="008727EB">
        <w:rPr>
          <w:szCs w:val="24"/>
          <w:lang w:val="fr-CA" w:eastAsia="ko-KR"/>
        </w:rPr>
        <w:t>/ La]</w:t>
      </w:r>
      <w:r w:rsidR="00523C36">
        <w:rPr>
          <w:szCs w:val="24"/>
          <w:lang w:val="fr-CA" w:eastAsia="ko-KR"/>
        </w:rPr>
        <w:t xml:space="preserve"> </w:t>
      </w:r>
      <w:r w:rsidRPr="0059083D">
        <w:rPr>
          <w:szCs w:val="24"/>
          <w:lang w:val="fr-CA" w:eastAsia="ko-KR"/>
        </w:rPr>
        <w:t>Société</w:t>
      </w:r>
      <w:r w:rsidRPr="0059083D">
        <w:rPr>
          <w:lang w:val="fr-CA"/>
        </w:rPr>
        <w:t xml:space="preserve"> </w:t>
      </w:r>
      <w:r w:rsidR="00DD369C">
        <w:rPr>
          <w:lang w:val="fr-CA"/>
        </w:rPr>
        <w:t>convient par les présentes que</w:t>
      </w:r>
      <w:r w:rsidRPr="0059083D">
        <w:rPr>
          <w:lang w:val="fr-CA"/>
        </w:rPr>
        <w:t xml:space="preserve">, </w:t>
      </w:r>
      <w:r w:rsidR="00DD369C">
        <w:rPr>
          <w:lang w:val="fr-CA"/>
        </w:rPr>
        <w:t>dans la mesure permise par la législation applicable</w:t>
      </w:r>
      <w:r w:rsidRPr="0059083D">
        <w:rPr>
          <w:lang w:val="fr-CA"/>
        </w:rPr>
        <w:t>, [</w:t>
      </w:r>
      <w:r w:rsidR="00DD369C">
        <w:rPr>
          <w:lang w:val="fr-CA"/>
        </w:rPr>
        <w:t>dénomination de l’entité de capital de risque</w:t>
      </w:r>
      <w:r w:rsidRPr="0059083D">
        <w:rPr>
          <w:lang w:val="fr-CA"/>
        </w:rPr>
        <w:t>] (</w:t>
      </w:r>
      <w:r w:rsidR="00DD369C">
        <w:rPr>
          <w:lang w:val="fr-CA"/>
        </w:rPr>
        <w:t xml:space="preserve">et les </w:t>
      </w:r>
      <w:r w:rsidRPr="0059083D">
        <w:rPr>
          <w:lang w:val="fr-CA"/>
        </w:rPr>
        <w:t>Membres du même groupe</w:t>
      </w:r>
      <w:r w:rsidR="00DD369C">
        <w:rPr>
          <w:lang w:val="fr-CA"/>
        </w:rPr>
        <w:t xml:space="preserve"> qu’elle</w:t>
      </w:r>
      <w:r w:rsidRPr="0059083D">
        <w:rPr>
          <w:lang w:val="fr-CA"/>
        </w:rPr>
        <w:t xml:space="preserve">) </w:t>
      </w:r>
      <w:r w:rsidR="00DD369C">
        <w:rPr>
          <w:lang w:val="fr-CA"/>
        </w:rPr>
        <w:t xml:space="preserve">n’assume aucune responsabilité envers </w:t>
      </w:r>
      <w:r w:rsidRPr="0059083D">
        <w:rPr>
          <w:lang w:val="fr-CA"/>
        </w:rPr>
        <w:t xml:space="preserve">la Société </w:t>
      </w:r>
      <w:r w:rsidR="00DD369C">
        <w:rPr>
          <w:lang w:val="fr-CA"/>
        </w:rPr>
        <w:t xml:space="preserve">à l’égard de toute réclamation </w:t>
      </w:r>
      <w:r w:rsidR="00523C36">
        <w:rPr>
          <w:lang w:val="fr-CA"/>
        </w:rPr>
        <w:t>découlant de ce qui suit ou fondé</w:t>
      </w:r>
      <w:r w:rsidR="003B175A">
        <w:rPr>
          <w:lang w:val="fr-CA"/>
        </w:rPr>
        <w:t>e</w:t>
      </w:r>
      <w:r w:rsidR="00523C36">
        <w:rPr>
          <w:lang w:val="fr-CA"/>
        </w:rPr>
        <w:t xml:space="preserve"> sur ce qui suit :</w:t>
      </w:r>
      <w:r w:rsidR="00DD369C">
        <w:rPr>
          <w:lang w:val="fr-CA"/>
        </w:rPr>
        <w:t xml:space="preserve"> </w:t>
      </w:r>
      <w:bookmarkStart w:id="361" w:name="DocXTextRef291"/>
      <w:r w:rsidRPr="0059083D">
        <w:rPr>
          <w:lang w:val="fr-CA"/>
        </w:rPr>
        <w:t>(</w:t>
      </w:r>
      <w:r w:rsidRPr="00986BEB">
        <w:rPr>
          <w:lang w:val="fr-CA"/>
        </w:rPr>
        <w:t>i</w:t>
      </w:r>
      <w:r w:rsidRPr="0059083D">
        <w:rPr>
          <w:lang w:val="fr-CA"/>
        </w:rPr>
        <w:t>)</w:t>
      </w:r>
      <w:bookmarkEnd w:id="361"/>
      <w:r w:rsidR="00DD369C">
        <w:rPr>
          <w:lang w:val="fr-CA"/>
        </w:rPr>
        <w:t> </w:t>
      </w:r>
      <w:r w:rsidR="001302B1">
        <w:rPr>
          <w:lang w:val="fr-CA"/>
        </w:rPr>
        <w:t xml:space="preserve">un </w:t>
      </w:r>
      <w:r w:rsidR="00DD369C">
        <w:rPr>
          <w:lang w:val="fr-CA"/>
        </w:rPr>
        <w:t xml:space="preserve">investissement par </w:t>
      </w:r>
      <w:r w:rsidRPr="0059083D">
        <w:rPr>
          <w:lang w:val="fr-CA"/>
        </w:rPr>
        <w:t>[</w:t>
      </w:r>
      <w:r w:rsidR="00DD369C">
        <w:rPr>
          <w:lang w:val="fr-CA"/>
        </w:rPr>
        <w:t>dénomination de l’entité de capital de risque</w:t>
      </w:r>
      <w:r w:rsidRPr="0059083D">
        <w:rPr>
          <w:lang w:val="fr-CA"/>
        </w:rPr>
        <w:t>] (</w:t>
      </w:r>
      <w:r w:rsidR="00DD369C">
        <w:rPr>
          <w:lang w:val="fr-CA"/>
        </w:rPr>
        <w:t xml:space="preserve">ou les </w:t>
      </w:r>
      <w:r w:rsidRPr="0059083D">
        <w:rPr>
          <w:lang w:val="fr-CA"/>
        </w:rPr>
        <w:t>Membres du même groupe</w:t>
      </w:r>
      <w:r w:rsidR="00DD369C">
        <w:rPr>
          <w:lang w:val="fr-CA"/>
        </w:rPr>
        <w:t xml:space="preserve"> qu’elle</w:t>
      </w:r>
      <w:r w:rsidRPr="0059083D">
        <w:rPr>
          <w:lang w:val="fr-CA"/>
        </w:rPr>
        <w:t xml:space="preserve">) </w:t>
      </w:r>
      <w:r w:rsidR="00DD369C">
        <w:rPr>
          <w:lang w:val="fr-CA"/>
        </w:rPr>
        <w:t xml:space="preserve">dans une entité qui fait concurrence à </w:t>
      </w:r>
      <w:r w:rsidRPr="0059083D">
        <w:rPr>
          <w:lang w:val="fr-CA"/>
        </w:rPr>
        <w:t xml:space="preserve">la Société, </w:t>
      </w:r>
      <w:r w:rsidR="00DD369C">
        <w:rPr>
          <w:lang w:val="fr-CA"/>
        </w:rPr>
        <w:t>ou</w:t>
      </w:r>
      <w:r w:rsidRPr="0059083D">
        <w:rPr>
          <w:lang w:val="fr-CA"/>
        </w:rPr>
        <w:t xml:space="preserve"> </w:t>
      </w:r>
      <w:bookmarkStart w:id="362" w:name="DocXTextRef292"/>
      <w:r w:rsidRPr="0059083D">
        <w:rPr>
          <w:lang w:val="fr-CA"/>
        </w:rPr>
        <w:t>(</w:t>
      </w:r>
      <w:r w:rsidRPr="00986BEB">
        <w:rPr>
          <w:lang w:val="fr-CA"/>
        </w:rPr>
        <w:t>ii</w:t>
      </w:r>
      <w:r w:rsidRPr="0059083D">
        <w:rPr>
          <w:lang w:val="fr-CA"/>
        </w:rPr>
        <w:t>)</w:t>
      </w:r>
      <w:bookmarkEnd w:id="362"/>
      <w:r w:rsidR="00DD369C">
        <w:rPr>
          <w:lang w:val="fr-CA"/>
        </w:rPr>
        <w:t xml:space="preserve"> des mesures prises par un associé, un dirigeant, un employé ou un autre représentant de </w:t>
      </w:r>
      <w:r w:rsidRPr="0059083D">
        <w:rPr>
          <w:lang w:val="fr-CA"/>
        </w:rPr>
        <w:t>[</w:t>
      </w:r>
      <w:r w:rsidR="00DD369C">
        <w:rPr>
          <w:lang w:val="fr-CA"/>
        </w:rPr>
        <w:t>dénomination de l’entité de capital de risque</w:t>
      </w:r>
      <w:r w:rsidRPr="0059083D">
        <w:rPr>
          <w:lang w:val="fr-CA"/>
        </w:rPr>
        <w:t>] (</w:t>
      </w:r>
      <w:r w:rsidR="00DD369C">
        <w:rPr>
          <w:lang w:val="fr-CA"/>
        </w:rPr>
        <w:t xml:space="preserve">ou des </w:t>
      </w:r>
      <w:r w:rsidRPr="0059083D">
        <w:rPr>
          <w:lang w:val="fr-CA"/>
        </w:rPr>
        <w:t>Membres du même groupe</w:t>
      </w:r>
      <w:r w:rsidR="00DD369C">
        <w:rPr>
          <w:lang w:val="fr-CA"/>
        </w:rPr>
        <w:t xml:space="preserve"> qu’elle</w:t>
      </w:r>
      <w:r w:rsidRPr="0059083D">
        <w:rPr>
          <w:lang w:val="fr-CA"/>
        </w:rPr>
        <w:t xml:space="preserve">) </w:t>
      </w:r>
      <w:r w:rsidR="00DD369C">
        <w:rPr>
          <w:lang w:val="fr-CA"/>
        </w:rPr>
        <w:t>pour aider cette entreprise concurrente</w:t>
      </w:r>
      <w:r w:rsidRPr="0059083D">
        <w:rPr>
          <w:lang w:val="fr-CA"/>
        </w:rPr>
        <w:t xml:space="preserve">, </w:t>
      </w:r>
      <w:r w:rsidR="00DD369C">
        <w:rPr>
          <w:lang w:val="fr-CA"/>
        </w:rPr>
        <w:t xml:space="preserve">que la personne qui a pris ces mesures ait agi ou non en qualité de membre du conseil d’administration de cette société concurrente ou autrement, et que ces mesures aient ou non eu un effet défavorable sur </w:t>
      </w:r>
      <w:r w:rsidRPr="0059083D">
        <w:rPr>
          <w:lang w:val="fr-CA"/>
        </w:rPr>
        <w:t xml:space="preserve">la Société; </w:t>
      </w:r>
      <w:r w:rsidR="00DD369C">
        <w:rPr>
          <w:lang w:val="fr-CA"/>
        </w:rPr>
        <w:t xml:space="preserve">il est entendu, toutefois, que la disposition qui précède ne libère pas </w:t>
      </w:r>
      <w:bookmarkStart w:id="363" w:name="DocXTextRef293"/>
      <w:r w:rsidRPr="0059083D">
        <w:rPr>
          <w:lang w:val="fr-CA"/>
        </w:rPr>
        <w:t>(</w:t>
      </w:r>
      <w:r w:rsidRPr="00986BEB">
        <w:rPr>
          <w:lang w:val="fr-CA"/>
        </w:rPr>
        <w:t>x</w:t>
      </w:r>
      <w:r w:rsidRPr="0059083D">
        <w:rPr>
          <w:lang w:val="fr-CA"/>
        </w:rPr>
        <w:t>)</w:t>
      </w:r>
      <w:bookmarkEnd w:id="363"/>
      <w:r w:rsidR="00DD369C">
        <w:rPr>
          <w:lang w:val="fr-CA"/>
        </w:rPr>
        <w:t xml:space="preserve"> les </w:t>
      </w:r>
      <w:r w:rsidRPr="0059083D">
        <w:rPr>
          <w:lang w:val="fr-CA"/>
        </w:rPr>
        <w:t xml:space="preserve">Investisseurs </w:t>
      </w:r>
      <w:r w:rsidR="00DD369C">
        <w:rPr>
          <w:lang w:val="fr-CA"/>
        </w:rPr>
        <w:t>de leurs responsabilités associé</w:t>
      </w:r>
      <w:r w:rsidR="003B175A">
        <w:rPr>
          <w:lang w:val="fr-CA"/>
        </w:rPr>
        <w:t>e</w:t>
      </w:r>
      <w:r w:rsidR="00DD369C">
        <w:rPr>
          <w:lang w:val="fr-CA"/>
        </w:rPr>
        <w:t xml:space="preserve">s à la divulgation non autorisée de </w:t>
      </w:r>
      <w:r w:rsidR="00D26139">
        <w:rPr>
          <w:lang w:val="fr-CA"/>
        </w:rPr>
        <w:t>renseignements confidentiels</w:t>
      </w:r>
      <w:r w:rsidRPr="0059083D">
        <w:rPr>
          <w:lang w:val="fr-CA"/>
        </w:rPr>
        <w:t xml:space="preserve"> </w:t>
      </w:r>
      <w:r w:rsidR="00DD369C">
        <w:rPr>
          <w:lang w:val="fr-CA"/>
        </w:rPr>
        <w:t xml:space="preserve">de la Société obtenus conformément à </w:t>
      </w:r>
      <w:r w:rsidRPr="0059083D">
        <w:rPr>
          <w:lang w:val="fr-CA"/>
        </w:rPr>
        <w:t>la présente Convention</w:t>
      </w:r>
      <w:r w:rsidR="00DD369C">
        <w:rPr>
          <w:lang w:val="fr-CA"/>
        </w:rPr>
        <w:t>, ni</w:t>
      </w:r>
      <w:r w:rsidRPr="0059083D">
        <w:rPr>
          <w:lang w:val="fr-CA"/>
        </w:rPr>
        <w:t xml:space="preserve"> </w:t>
      </w:r>
      <w:bookmarkStart w:id="364" w:name="DocXTextRef294"/>
      <w:r w:rsidRPr="0059083D">
        <w:rPr>
          <w:lang w:val="fr-CA"/>
        </w:rPr>
        <w:t>(</w:t>
      </w:r>
      <w:r w:rsidRPr="00986BEB">
        <w:rPr>
          <w:lang w:val="fr-CA"/>
        </w:rPr>
        <w:t>y</w:t>
      </w:r>
      <w:r w:rsidRPr="0059083D">
        <w:rPr>
          <w:lang w:val="fr-CA"/>
        </w:rPr>
        <w:t>)</w:t>
      </w:r>
      <w:bookmarkEnd w:id="364"/>
      <w:r w:rsidR="00DD369C">
        <w:rPr>
          <w:lang w:val="fr-CA"/>
        </w:rPr>
        <w:t xml:space="preserve"> les administrateurs ou les dirigeants de </w:t>
      </w:r>
      <w:r w:rsidRPr="0059083D">
        <w:rPr>
          <w:lang w:val="fr-CA"/>
        </w:rPr>
        <w:t xml:space="preserve">la Société </w:t>
      </w:r>
      <w:r w:rsidR="00DD369C">
        <w:rPr>
          <w:lang w:val="fr-CA"/>
        </w:rPr>
        <w:t>de</w:t>
      </w:r>
      <w:r w:rsidR="00523C36">
        <w:rPr>
          <w:lang w:val="fr-CA"/>
        </w:rPr>
        <w:t xml:space="preserve">s </w:t>
      </w:r>
      <w:r w:rsidR="00DD369C">
        <w:rPr>
          <w:lang w:val="fr-CA"/>
        </w:rPr>
        <w:t>responsabilités associées à leurs obligations fiduciaires envers</w:t>
      </w:r>
      <w:r w:rsidRPr="0059083D">
        <w:rPr>
          <w:lang w:val="fr-CA"/>
        </w:rPr>
        <w:t xml:space="preserve"> la Société.]</w:t>
      </w:r>
    </w:p>
    <w:p w14:paraId="0765BCDC" w14:textId="585AB0BB" w:rsidR="00037C7E" w:rsidRPr="00986BEB" w:rsidRDefault="000B08F2">
      <w:pPr>
        <w:pStyle w:val="StandardL2"/>
        <w:rPr>
          <w:lang w:val="fr-CA"/>
        </w:rPr>
      </w:pPr>
      <w:bookmarkStart w:id="365" w:name="_Ref448380656"/>
      <w:bookmarkStart w:id="366" w:name="_Toc132874753"/>
      <w:r w:rsidRPr="009D4254">
        <w:rPr>
          <w:lang w:val="fr-CA"/>
        </w:rPr>
        <w:t>[</w:t>
      </w:r>
      <w:r w:rsidR="00DD369C" w:rsidRPr="009D4254">
        <w:rPr>
          <w:lang w:val="fr-CA"/>
        </w:rPr>
        <w:t>Politique contre le harcèlement</w:t>
      </w:r>
      <w:r w:rsidRPr="009D4254">
        <w:rPr>
          <w:lang w:val="fr-CA"/>
        </w:rPr>
        <w:t>.</w:t>
      </w:r>
      <w:bookmarkEnd w:id="365"/>
      <w:bookmarkEnd w:id="366"/>
      <w:r w:rsidR="009B551D" w:rsidRPr="009D4254">
        <w:rPr>
          <w:lang w:val="fr-CA"/>
        </w:rPr>
        <w:t xml:space="preserve"> </w:t>
      </w:r>
    </w:p>
    <w:p w14:paraId="650AF84B" w14:textId="46967E80" w:rsidR="009B551D" w:rsidRPr="0059083D" w:rsidRDefault="00DD369C" w:rsidP="009B551D">
      <w:pPr>
        <w:pStyle w:val="StandardCont2"/>
        <w:rPr>
          <w:lang w:val="fr-CA"/>
        </w:rPr>
      </w:pPr>
      <w:r>
        <w:rPr>
          <w:lang w:val="fr-CA"/>
        </w:rPr>
        <w:t xml:space="preserve">La Société adopte, dans les </w:t>
      </w:r>
      <w:r w:rsidR="0059083D">
        <w:rPr>
          <w:lang w:val="fr-CA"/>
        </w:rPr>
        <w:t>soixante</w:t>
      </w:r>
      <w:r w:rsidR="000B08F2" w:rsidRPr="0059083D">
        <w:rPr>
          <w:lang w:val="fr-CA"/>
        </w:rPr>
        <w:t xml:space="preserve"> (</w:t>
      </w:r>
      <w:r w:rsidR="000B08F2" w:rsidRPr="00986BEB">
        <w:rPr>
          <w:lang w:val="fr-CA"/>
        </w:rPr>
        <w:t>60</w:t>
      </w:r>
      <w:r w:rsidR="000B08F2" w:rsidRPr="0059083D">
        <w:rPr>
          <w:lang w:val="fr-CA"/>
        </w:rPr>
        <w:t>)</w:t>
      </w:r>
      <w:r w:rsidR="0059083D">
        <w:rPr>
          <w:lang w:val="fr-CA"/>
        </w:rPr>
        <w:t> jours</w:t>
      </w:r>
      <w:r w:rsidR="000B08F2" w:rsidRPr="0059083D">
        <w:rPr>
          <w:lang w:val="fr-CA"/>
        </w:rPr>
        <w:t xml:space="preserve"> </w:t>
      </w:r>
      <w:r>
        <w:rPr>
          <w:lang w:val="fr-CA"/>
        </w:rPr>
        <w:t xml:space="preserve">suivant la </w:t>
      </w:r>
      <w:r w:rsidRPr="001302B1">
        <w:rPr>
          <w:lang w:val="fr-CA"/>
        </w:rPr>
        <w:t>Clôture</w:t>
      </w:r>
      <w:r>
        <w:rPr>
          <w:lang w:val="fr-CA"/>
        </w:rPr>
        <w:t xml:space="preserve"> </w:t>
      </w:r>
      <w:r w:rsidR="000B08F2" w:rsidRPr="0059083D">
        <w:rPr>
          <w:lang w:val="fr-CA"/>
        </w:rPr>
        <w:t>(</w:t>
      </w:r>
      <w:r w:rsidR="008374D8">
        <w:rPr>
          <w:lang w:val="fr-CA"/>
        </w:rPr>
        <w:t>au sens donné à ce terme</w:t>
      </w:r>
      <w:r>
        <w:rPr>
          <w:lang w:val="fr-CA"/>
        </w:rPr>
        <w:t xml:space="preserve"> dans </w:t>
      </w:r>
      <w:r w:rsidR="000B08F2" w:rsidRPr="0059083D">
        <w:rPr>
          <w:lang w:val="fr-CA"/>
        </w:rPr>
        <w:t xml:space="preserve">la Convention d’achat), </w:t>
      </w:r>
      <w:r>
        <w:rPr>
          <w:lang w:val="fr-CA"/>
        </w:rPr>
        <w:t>et maintien</w:t>
      </w:r>
      <w:r w:rsidR="001302B1">
        <w:rPr>
          <w:lang w:val="fr-CA"/>
        </w:rPr>
        <w:t>t</w:t>
      </w:r>
      <w:r>
        <w:rPr>
          <w:lang w:val="fr-CA"/>
        </w:rPr>
        <w:t xml:space="preserve"> en vigueur par la suite </w:t>
      </w:r>
      <w:r w:rsidR="000B08F2" w:rsidRPr="0059083D">
        <w:rPr>
          <w:lang w:val="fr-CA"/>
        </w:rPr>
        <w:t>(</w:t>
      </w:r>
      <w:r w:rsidR="000B08F2" w:rsidRPr="00986BEB">
        <w:rPr>
          <w:lang w:val="fr-CA"/>
        </w:rPr>
        <w:t>i</w:t>
      </w:r>
      <w:r w:rsidR="000B08F2" w:rsidRPr="0059083D">
        <w:rPr>
          <w:lang w:val="fr-CA"/>
        </w:rPr>
        <w:t>)</w:t>
      </w:r>
      <w:r>
        <w:rPr>
          <w:lang w:val="fr-CA"/>
        </w:rPr>
        <w:t xml:space="preserve"> un </w:t>
      </w:r>
      <w:r w:rsidR="001302B1">
        <w:rPr>
          <w:lang w:val="fr-CA"/>
        </w:rPr>
        <w:t>c</w:t>
      </w:r>
      <w:r>
        <w:rPr>
          <w:lang w:val="fr-CA"/>
        </w:rPr>
        <w:t xml:space="preserve">ode de conduite régissant les comportements appropriés en milieu de travail et </w:t>
      </w:r>
      <w:r w:rsidR="000B08F2" w:rsidRPr="0059083D">
        <w:rPr>
          <w:lang w:val="fr-CA"/>
        </w:rPr>
        <w:t>(</w:t>
      </w:r>
      <w:r w:rsidR="000B08F2" w:rsidRPr="00986BEB">
        <w:rPr>
          <w:lang w:val="fr-CA"/>
        </w:rPr>
        <w:t>ii</w:t>
      </w:r>
      <w:r w:rsidR="000B08F2" w:rsidRPr="0059083D">
        <w:rPr>
          <w:lang w:val="fr-CA"/>
        </w:rPr>
        <w:t>)</w:t>
      </w:r>
      <w:r>
        <w:rPr>
          <w:lang w:val="fr-CA"/>
        </w:rPr>
        <w:t xml:space="preserve"> une politique contre le harcèlement et la discrimination qui interdit la discrimination et le harcèlement au sein de </w:t>
      </w:r>
      <w:r w:rsidR="000B08F2" w:rsidRPr="0059083D">
        <w:rPr>
          <w:lang w:val="fr-CA"/>
        </w:rPr>
        <w:t xml:space="preserve">la Société. </w:t>
      </w:r>
      <w:r w:rsidRPr="009D4254">
        <w:rPr>
          <w:lang w:val="fr-CA"/>
        </w:rPr>
        <w:t xml:space="preserve">Cette politique est soumise à l’examen et à l’approbation du </w:t>
      </w:r>
      <w:r w:rsidR="000B08F2" w:rsidRPr="009D4254">
        <w:rPr>
          <w:lang w:val="fr-CA"/>
        </w:rPr>
        <w:t>Conseil d’administration.]</w:t>
      </w:r>
    </w:p>
    <w:p w14:paraId="70E4542C" w14:textId="099D6189" w:rsidR="00B62E5B" w:rsidRPr="00986BEB" w:rsidRDefault="00FB2968" w:rsidP="00B62E5B">
      <w:pPr>
        <w:pStyle w:val="StandardL2"/>
        <w:rPr>
          <w:lang w:val="fr-CA"/>
        </w:rPr>
      </w:pPr>
      <w:bookmarkStart w:id="367" w:name="_Toc132874754"/>
      <w:r>
        <w:rPr>
          <w:lang w:val="fr-CA"/>
        </w:rPr>
        <w:t>[</w:t>
      </w:r>
      <w:r w:rsidR="00DD369C">
        <w:rPr>
          <w:lang w:val="fr-CA"/>
        </w:rPr>
        <w:t>Pratiques de corruption à l’étranger</w:t>
      </w:r>
      <w:r w:rsidR="001302B1">
        <w:rPr>
          <w:lang w:val="fr-CA"/>
        </w:rPr>
        <w:t>.</w:t>
      </w:r>
      <w:bookmarkEnd w:id="367"/>
      <w:r w:rsidR="000B08F2" w:rsidRPr="0059083D">
        <w:rPr>
          <w:lang w:val="fr-CA"/>
        </w:rPr>
        <w:t xml:space="preserve"> </w:t>
      </w:r>
    </w:p>
    <w:p w14:paraId="027E10A7" w14:textId="281893F7" w:rsidR="00B62E5B" w:rsidRPr="0059083D" w:rsidRDefault="000B08F2" w:rsidP="00B62E5B">
      <w:pPr>
        <w:pStyle w:val="StandardCont2"/>
        <w:rPr>
          <w:lang w:val="fr-CA"/>
        </w:rPr>
      </w:pPr>
      <w:bookmarkStart w:id="368" w:name="_Ref42252562"/>
      <w:r w:rsidRPr="0059083D">
        <w:rPr>
          <w:lang w:val="fr-CA"/>
        </w:rPr>
        <w:t xml:space="preserve">La Société </w:t>
      </w:r>
      <w:r w:rsidR="00DD369C">
        <w:rPr>
          <w:lang w:val="fr-CA"/>
        </w:rPr>
        <w:t>s’engage à s’abstenir</w:t>
      </w:r>
      <w:r w:rsidRPr="0059083D">
        <w:rPr>
          <w:lang w:val="fr-CA"/>
        </w:rPr>
        <w:t xml:space="preserve"> (</w:t>
      </w:r>
      <w:r w:rsidR="00DD369C">
        <w:rPr>
          <w:lang w:val="fr-CA"/>
        </w:rPr>
        <w:t xml:space="preserve">et à </w:t>
      </w:r>
      <w:r w:rsidR="00002F5E">
        <w:rPr>
          <w:lang w:val="fr-CA"/>
        </w:rPr>
        <w:t>interdire</w:t>
      </w:r>
      <w:r w:rsidR="00DD369C">
        <w:rPr>
          <w:lang w:val="fr-CA"/>
        </w:rPr>
        <w:t xml:space="preserve"> à ses filiales, aux </w:t>
      </w:r>
      <w:r w:rsidRPr="0059083D">
        <w:rPr>
          <w:lang w:val="fr-CA"/>
        </w:rPr>
        <w:t xml:space="preserve">Membres du même groupe </w:t>
      </w:r>
      <w:r w:rsidR="00DD369C">
        <w:rPr>
          <w:lang w:val="fr-CA"/>
        </w:rPr>
        <w:t>qu’elle ainsi qu’à ses administrateurs, dirigeants, gestionnaires, employés, entrepreneurs indépendants, représentants ou mandataires et à ceux de ses filiales et des Membres du même groupe qu’elle, respectivement</w:t>
      </w:r>
      <w:r w:rsidRPr="0059083D">
        <w:rPr>
          <w:lang w:val="fr-CA"/>
        </w:rPr>
        <w:t xml:space="preserve">) </w:t>
      </w:r>
      <w:r w:rsidR="00DD369C">
        <w:rPr>
          <w:lang w:val="fr-CA"/>
        </w:rPr>
        <w:t>de promettre, d’autoriser ou d’effectuer quelque paiement que ce soit</w:t>
      </w:r>
      <w:r w:rsidRPr="0059083D">
        <w:rPr>
          <w:lang w:val="fr-CA"/>
        </w:rPr>
        <w:t xml:space="preserve"> </w:t>
      </w:r>
      <w:r w:rsidR="00DD369C">
        <w:rPr>
          <w:lang w:val="fr-CA"/>
        </w:rPr>
        <w:t>ou d</w:t>
      </w:r>
      <w:r w:rsidR="00FB2968">
        <w:rPr>
          <w:lang w:val="fr-CA"/>
        </w:rPr>
        <w:t>’offrir</w:t>
      </w:r>
      <w:r w:rsidR="00DD369C">
        <w:rPr>
          <w:lang w:val="fr-CA"/>
        </w:rPr>
        <w:t xml:space="preserve"> par ailleurs quelque objet de valeur que ce soit, </w:t>
      </w:r>
      <w:r w:rsidR="004E1041">
        <w:rPr>
          <w:lang w:val="fr-CA"/>
        </w:rPr>
        <w:t>directement ou indirectement</w:t>
      </w:r>
      <w:r w:rsidRPr="0059083D">
        <w:rPr>
          <w:lang w:val="fr-CA"/>
        </w:rPr>
        <w:t xml:space="preserve">, </w:t>
      </w:r>
      <w:r w:rsidR="00DD369C">
        <w:rPr>
          <w:lang w:val="fr-CA"/>
        </w:rPr>
        <w:t xml:space="preserve">à un tiers, y compris un </w:t>
      </w:r>
      <w:bookmarkStart w:id="369" w:name="_9kR3WTr2664CMdQxeE9Nlpnonr"/>
      <w:r w:rsidR="00DD369C">
        <w:rPr>
          <w:lang w:val="fr-CA"/>
        </w:rPr>
        <w:t xml:space="preserve">agent officiel non américain (au sens </w:t>
      </w:r>
      <w:r w:rsidR="00874C2A">
        <w:rPr>
          <w:lang w:val="fr-CA"/>
        </w:rPr>
        <w:t>donné</w:t>
      </w:r>
      <w:r w:rsidR="00DD369C">
        <w:rPr>
          <w:lang w:val="fr-CA"/>
        </w:rPr>
        <w:t xml:space="preserve"> </w:t>
      </w:r>
      <w:r w:rsidR="00F94055">
        <w:rPr>
          <w:lang w:val="fr-CA"/>
        </w:rPr>
        <w:t>à</w:t>
      </w:r>
      <w:r w:rsidR="00DD369C">
        <w:rPr>
          <w:lang w:val="fr-CA"/>
        </w:rPr>
        <w:t xml:space="preserve"> </w:t>
      </w:r>
      <w:r w:rsidRPr="00DD369C">
        <w:rPr>
          <w:i/>
          <w:iCs/>
          <w:lang w:val="fr-CA"/>
        </w:rPr>
        <w:t>Non-U.S. Official</w:t>
      </w:r>
      <w:bookmarkEnd w:id="369"/>
      <w:r w:rsidRPr="0059083D">
        <w:rPr>
          <w:lang w:val="fr-CA"/>
        </w:rPr>
        <w:t xml:space="preserve"> </w:t>
      </w:r>
      <w:r w:rsidR="00DD369C">
        <w:rPr>
          <w:lang w:val="fr-CA"/>
        </w:rPr>
        <w:t xml:space="preserve">dans la loi des États-Unis intitulée </w:t>
      </w:r>
      <w:r w:rsidRPr="00DD369C">
        <w:rPr>
          <w:i/>
          <w:iCs/>
          <w:lang w:val="fr-CA"/>
        </w:rPr>
        <w:t xml:space="preserve">Foreign Corrupt Practices Act of </w:t>
      </w:r>
      <w:r w:rsidRPr="00986BEB">
        <w:rPr>
          <w:i/>
          <w:iCs/>
          <w:lang w:val="fr-CA"/>
        </w:rPr>
        <w:t>1977</w:t>
      </w:r>
      <w:r w:rsidRPr="0059083D">
        <w:rPr>
          <w:lang w:val="fr-CA"/>
        </w:rPr>
        <w:t xml:space="preserve">, </w:t>
      </w:r>
      <w:r w:rsidR="00DD369C">
        <w:rPr>
          <w:lang w:val="fr-CA"/>
        </w:rPr>
        <w:t>en sa version modifiée</w:t>
      </w:r>
      <w:r w:rsidRPr="0059083D">
        <w:rPr>
          <w:lang w:val="fr-CA"/>
        </w:rPr>
        <w:t xml:space="preserve"> (</w:t>
      </w:r>
      <w:r w:rsidR="00DD369C">
        <w:rPr>
          <w:lang w:val="fr-CA"/>
        </w:rPr>
        <w:t>la</w:t>
      </w:r>
      <w:r w:rsidR="00002F5E">
        <w:rPr>
          <w:lang w:val="fr-CA"/>
        </w:rPr>
        <w:t> </w:t>
      </w:r>
      <w:r w:rsidRPr="0059083D">
        <w:rPr>
          <w:snapToGrid w:val="0"/>
          <w:lang w:val="fr-CA"/>
        </w:rPr>
        <w:t>« </w:t>
      </w:r>
      <w:r w:rsidRPr="0059083D">
        <w:rPr>
          <w:b/>
          <w:lang w:val="fr-CA"/>
        </w:rPr>
        <w:t>FCPA</w:t>
      </w:r>
      <w:r w:rsidRPr="0059083D">
        <w:rPr>
          <w:snapToGrid w:val="0"/>
          <w:lang w:val="fr-CA"/>
        </w:rPr>
        <w:t> »</w:t>
      </w:r>
      <w:r w:rsidR="005F39FD" w:rsidRPr="0059083D">
        <w:rPr>
          <w:lang w:val="fr-CA"/>
        </w:rPr>
        <w:t xml:space="preserve">)), </w:t>
      </w:r>
      <w:r w:rsidR="00DD369C">
        <w:rPr>
          <w:lang w:val="fr-CA"/>
        </w:rPr>
        <w:t xml:space="preserve">dans chaque cas, en violation de la </w:t>
      </w:r>
      <w:r w:rsidR="00DD369C">
        <w:rPr>
          <w:bCs/>
          <w:i/>
          <w:iCs/>
          <w:lang w:val="fr-CA"/>
        </w:rPr>
        <w:t>Loi sur la corruption d’agents publics étrangers</w:t>
      </w:r>
      <w:r w:rsidR="005F39FD" w:rsidRPr="0059083D">
        <w:rPr>
          <w:bCs/>
          <w:i/>
          <w:iCs/>
          <w:lang w:val="fr-CA"/>
        </w:rPr>
        <w:t xml:space="preserve"> </w:t>
      </w:r>
      <w:r w:rsidR="005F39FD" w:rsidRPr="0059083D">
        <w:rPr>
          <w:bCs/>
          <w:lang w:val="fr-CA"/>
        </w:rPr>
        <w:t xml:space="preserve">(Canada), </w:t>
      </w:r>
      <w:r w:rsidR="00DD369C">
        <w:rPr>
          <w:bCs/>
          <w:lang w:val="fr-CA"/>
        </w:rPr>
        <w:t>en sa version modifiée</w:t>
      </w:r>
      <w:r w:rsidR="005F39FD" w:rsidRPr="0059083D">
        <w:rPr>
          <w:bCs/>
          <w:lang w:val="fr-CA"/>
        </w:rPr>
        <w:t xml:space="preserve"> (</w:t>
      </w:r>
      <w:r w:rsidR="00FB2968">
        <w:rPr>
          <w:bCs/>
          <w:lang w:val="fr-CA"/>
        </w:rPr>
        <w:t>la</w:t>
      </w:r>
      <w:r w:rsidR="005F39FD" w:rsidRPr="0059083D">
        <w:rPr>
          <w:bCs/>
          <w:lang w:val="fr-CA"/>
        </w:rPr>
        <w:t xml:space="preserve"> </w:t>
      </w:r>
      <w:r w:rsidRPr="0059083D">
        <w:rPr>
          <w:bCs/>
          <w:lang w:val="fr-CA"/>
        </w:rPr>
        <w:t>« </w:t>
      </w:r>
      <w:r w:rsidR="00DD369C" w:rsidRPr="00DD369C">
        <w:rPr>
          <w:b/>
          <w:bCs/>
          <w:lang w:val="fr-CA"/>
        </w:rPr>
        <w:t>LCAPE</w:t>
      </w:r>
      <w:r w:rsidR="00DD369C">
        <w:rPr>
          <w:bCs/>
          <w:lang w:val="fr-CA"/>
        </w:rPr>
        <w:t> »</w:t>
      </w:r>
      <w:r w:rsidRPr="0059083D">
        <w:rPr>
          <w:lang w:val="fr-CA"/>
        </w:rPr>
        <w:t xml:space="preserve"> »), </w:t>
      </w:r>
      <w:r w:rsidR="00DD369C">
        <w:rPr>
          <w:lang w:val="fr-CA"/>
        </w:rPr>
        <w:t xml:space="preserve">de la </w:t>
      </w:r>
      <w:r w:rsidRPr="0059083D">
        <w:rPr>
          <w:lang w:val="fr-CA"/>
        </w:rPr>
        <w:t xml:space="preserve">FCPA, </w:t>
      </w:r>
      <w:r w:rsidR="00DD369C">
        <w:rPr>
          <w:lang w:val="fr-CA"/>
        </w:rPr>
        <w:t>de la loi du Royaume</w:t>
      </w:r>
      <w:r w:rsidR="00DD369C">
        <w:rPr>
          <w:lang w:val="fr-CA"/>
        </w:rPr>
        <w:noBreakHyphen/>
        <w:t xml:space="preserve">Uni intitulée </w:t>
      </w:r>
      <w:r w:rsidRPr="00DD369C">
        <w:rPr>
          <w:i/>
          <w:iCs/>
          <w:lang w:val="fr-CA"/>
        </w:rPr>
        <w:t>Bribery Act</w:t>
      </w:r>
      <w:r w:rsidRPr="0059083D">
        <w:rPr>
          <w:lang w:val="fr-CA"/>
        </w:rPr>
        <w:t xml:space="preserve"> </w:t>
      </w:r>
      <w:r w:rsidR="00DD369C">
        <w:rPr>
          <w:lang w:val="fr-CA"/>
        </w:rPr>
        <w:t>ou de toute autre loi applicable en matière de lutte contre la corruption</w:t>
      </w:r>
      <w:r w:rsidRPr="0059083D">
        <w:rPr>
          <w:lang w:val="fr-CA"/>
        </w:rPr>
        <w:t xml:space="preserve">. [La Société </w:t>
      </w:r>
      <w:r w:rsidR="00DD369C">
        <w:rPr>
          <w:lang w:val="fr-CA"/>
        </w:rPr>
        <w:t xml:space="preserve">s’engage également à cesser ses activités </w:t>
      </w:r>
      <w:r w:rsidRPr="0059083D">
        <w:rPr>
          <w:lang w:val="fr-CA"/>
        </w:rPr>
        <w:t>(</w:t>
      </w:r>
      <w:r w:rsidR="00DD369C">
        <w:rPr>
          <w:lang w:val="fr-CA"/>
        </w:rPr>
        <w:t xml:space="preserve">et à veiller à ce que </w:t>
      </w:r>
      <w:r w:rsidR="001E6E8E">
        <w:rPr>
          <w:lang w:val="fr-CA"/>
        </w:rPr>
        <w:t xml:space="preserve">chacune de </w:t>
      </w:r>
      <w:r w:rsidR="00DD369C">
        <w:rPr>
          <w:lang w:val="fr-CA"/>
        </w:rPr>
        <w:t xml:space="preserve">ses filiales et </w:t>
      </w:r>
      <w:r w:rsidR="001E6E8E">
        <w:rPr>
          <w:lang w:val="fr-CA"/>
        </w:rPr>
        <w:t xml:space="preserve">chacun des </w:t>
      </w:r>
      <w:r w:rsidRPr="0059083D">
        <w:rPr>
          <w:lang w:val="fr-CA"/>
        </w:rPr>
        <w:t xml:space="preserve">Membres du même groupe </w:t>
      </w:r>
      <w:r w:rsidR="00DD369C">
        <w:rPr>
          <w:lang w:val="fr-CA"/>
        </w:rPr>
        <w:t>qu’elle cessent leurs activités respectives</w:t>
      </w:r>
      <w:r w:rsidRPr="0059083D">
        <w:rPr>
          <w:lang w:val="fr-CA"/>
        </w:rPr>
        <w:t>)</w:t>
      </w:r>
      <w:r w:rsidR="00002F5E">
        <w:rPr>
          <w:lang w:val="fr-CA"/>
        </w:rPr>
        <w:t>,</w:t>
      </w:r>
      <w:r w:rsidRPr="0059083D">
        <w:rPr>
          <w:lang w:val="fr-CA"/>
        </w:rPr>
        <w:t xml:space="preserve"> </w:t>
      </w:r>
      <w:r w:rsidR="00DD369C">
        <w:rPr>
          <w:lang w:val="fr-CA"/>
        </w:rPr>
        <w:t xml:space="preserve">ainsi qu’à remédier </w:t>
      </w:r>
      <w:r w:rsidR="00DD369C" w:rsidRPr="0059083D">
        <w:rPr>
          <w:lang w:val="fr-CA"/>
        </w:rPr>
        <w:t>(</w:t>
      </w:r>
      <w:r w:rsidR="00DD369C">
        <w:rPr>
          <w:lang w:val="fr-CA"/>
        </w:rPr>
        <w:t>et à veiller à ce que</w:t>
      </w:r>
      <w:r w:rsidR="001E6E8E">
        <w:rPr>
          <w:lang w:val="fr-CA"/>
        </w:rPr>
        <w:t xml:space="preserve"> chacune de</w:t>
      </w:r>
      <w:r w:rsidR="00DD369C">
        <w:rPr>
          <w:lang w:val="fr-CA"/>
        </w:rPr>
        <w:t xml:space="preserve"> ses filiales et </w:t>
      </w:r>
      <w:r w:rsidR="001E6E8E">
        <w:rPr>
          <w:lang w:val="fr-CA"/>
        </w:rPr>
        <w:t>chacun d</w:t>
      </w:r>
      <w:r w:rsidR="00DD369C">
        <w:rPr>
          <w:lang w:val="fr-CA"/>
        </w:rPr>
        <w:t xml:space="preserve">es </w:t>
      </w:r>
      <w:r w:rsidR="00DD369C" w:rsidRPr="0059083D">
        <w:rPr>
          <w:lang w:val="fr-CA"/>
        </w:rPr>
        <w:t xml:space="preserve">Membres du même groupe </w:t>
      </w:r>
      <w:r w:rsidR="00DD369C">
        <w:rPr>
          <w:lang w:val="fr-CA"/>
        </w:rPr>
        <w:t>qu’elle remédient</w:t>
      </w:r>
      <w:r w:rsidR="00DD369C" w:rsidRPr="0059083D">
        <w:rPr>
          <w:lang w:val="fr-CA"/>
        </w:rPr>
        <w:t>)</w:t>
      </w:r>
      <w:r w:rsidR="00DD369C">
        <w:rPr>
          <w:lang w:val="fr-CA"/>
        </w:rPr>
        <w:t xml:space="preserve"> à toutes les mesures prises par la Société, ses filiales ou les </w:t>
      </w:r>
      <w:r w:rsidRPr="0059083D">
        <w:rPr>
          <w:lang w:val="fr-CA"/>
        </w:rPr>
        <w:t>Membres du même groupe</w:t>
      </w:r>
      <w:r w:rsidR="00DD369C">
        <w:rPr>
          <w:lang w:val="fr-CA"/>
        </w:rPr>
        <w:t xml:space="preserve"> qu’elle</w:t>
      </w:r>
      <w:r w:rsidRPr="0059083D">
        <w:rPr>
          <w:lang w:val="fr-CA"/>
        </w:rPr>
        <w:t xml:space="preserve">, </w:t>
      </w:r>
      <w:r w:rsidR="00DD369C">
        <w:rPr>
          <w:lang w:val="fr-CA"/>
        </w:rPr>
        <w:t xml:space="preserve">ou </w:t>
      </w:r>
      <w:r w:rsidR="001E6E8E">
        <w:rPr>
          <w:lang w:val="fr-CA"/>
        </w:rPr>
        <w:t xml:space="preserve">par </w:t>
      </w:r>
      <w:r w:rsidR="00DD369C">
        <w:rPr>
          <w:lang w:val="fr-CA"/>
        </w:rPr>
        <w:t xml:space="preserve">l’un de leurs administrateurs, dirigeants, gestionnaires, employés, entrepreneurs indépendants, représentants ou mandataires </w:t>
      </w:r>
      <w:r w:rsidR="001E6E8E">
        <w:rPr>
          <w:lang w:val="fr-CA"/>
        </w:rPr>
        <w:t>respectifs</w:t>
      </w:r>
      <w:r w:rsidR="00002F5E">
        <w:rPr>
          <w:lang w:val="fr-CA"/>
        </w:rPr>
        <w:t>,</w:t>
      </w:r>
      <w:r w:rsidR="001E6E8E">
        <w:rPr>
          <w:lang w:val="fr-CA"/>
        </w:rPr>
        <w:t xml:space="preserve"> </w:t>
      </w:r>
      <w:r w:rsidR="00DD369C">
        <w:rPr>
          <w:lang w:val="fr-CA"/>
        </w:rPr>
        <w:t>en violation de la LCAPE</w:t>
      </w:r>
      <w:r w:rsidRPr="0059083D">
        <w:rPr>
          <w:lang w:val="fr-CA"/>
        </w:rPr>
        <w:t xml:space="preserve">, </w:t>
      </w:r>
      <w:r w:rsidR="001E6E8E">
        <w:rPr>
          <w:lang w:val="fr-CA"/>
        </w:rPr>
        <w:t xml:space="preserve">de la </w:t>
      </w:r>
      <w:r w:rsidRPr="0059083D">
        <w:rPr>
          <w:lang w:val="fr-CA"/>
        </w:rPr>
        <w:t xml:space="preserve">FCPA, </w:t>
      </w:r>
      <w:r w:rsidR="001E6E8E">
        <w:rPr>
          <w:lang w:val="fr-CA"/>
        </w:rPr>
        <w:t xml:space="preserve">de </w:t>
      </w:r>
      <w:r w:rsidR="00DD369C">
        <w:rPr>
          <w:lang w:val="fr-CA"/>
        </w:rPr>
        <w:t>la loi du Royaume</w:t>
      </w:r>
      <w:r w:rsidR="00DD369C">
        <w:rPr>
          <w:lang w:val="fr-CA"/>
        </w:rPr>
        <w:noBreakHyphen/>
        <w:t xml:space="preserve">Uni intitulée </w:t>
      </w:r>
      <w:r w:rsidR="00DD369C" w:rsidRPr="00DD369C">
        <w:rPr>
          <w:i/>
          <w:iCs/>
          <w:lang w:val="fr-CA"/>
        </w:rPr>
        <w:t>Bribery Act</w:t>
      </w:r>
      <w:r w:rsidR="00DD369C" w:rsidRPr="0059083D">
        <w:rPr>
          <w:lang w:val="fr-CA"/>
        </w:rPr>
        <w:t xml:space="preserve"> </w:t>
      </w:r>
      <w:r w:rsidR="00DD369C">
        <w:rPr>
          <w:lang w:val="fr-CA"/>
        </w:rPr>
        <w:t xml:space="preserve">ou </w:t>
      </w:r>
      <w:r w:rsidR="00002F5E">
        <w:rPr>
          <w:lang w:val="fr-CA"/>
        </w:rPr>
        <w:t xml:space="preserve">de </w:t>
      </w:r>
      <w:r w:rsidR="00DD369C">
        <w:rPr>
          <w:lang w:val="fr-CA"/>
        </w:rPr>
        <w:t>toute autre loi applicable en matière de lutte contre la corruption</w:t>
      </w:r>
      <w:r w:rsidRPr="0059083D">
        <w:rPr>
          <w:lang w:val="fr-CA"/>
        </w:rPr>
        <w:t xml:space="preserve">. La Société </w:t>
      </w:r>
      <w:r w:rsidR="00DD369C">
        <w:rPr>
          <w:lang w:val="fr-CA"/>
        </w:rPr>
        <w:t xml:space="preserve">s’engage par ailleurs à maintenir </w:t>
      </w:r>
      <w:r w:rsidRPr="0059083D">
        <w:rPr>
          <w:lang w:val="fr-CA"/>
        </w:rPr>
        <w:t>(</w:t>
      </w:r>
      <w:r w:rsidR="00DD369C">
        <w:rPr>
          <w:lang w:val="fr-CA"/>
        </w:rPr>
        <w:t xml:space="preserve">et à veiller à ce que </w:t>
      </w:r>
      <w:r w:rsidR="00555BAC">
        <w:rPr>
          <w:lang w:val="fr-CA"/>
        </w:rPr>
        <w:t xml:space="preserve">chacune de </w:t>
      </w:r>
      <w:r w:rsidR="00DD369C">
        <w:rPr>
          <w:lang w:val="fr-CA"/>
        </w:rPr>
        <w:t xml:space="preserve">ses filiales et </w:t>
      </w:r>
      <w:r w:rsidR="00555BAC">
        <w:rPr>
          <w:lang w:val="fr-CA"/>
        </w:rPr>
        <w:t>chacun d</w:t>
      </w:r>
      <w:r w:rsidR="00DD369C">
        <w:rPr>
          <w:lang w:val="fr-CA"/>
        </w:rPr>
        <w:t xml:space="preserve">es </w:t>
      </w:r>
      <w:r w:rsidR="00DD369C" w:rsidRPr="0059083D">
        <w:rPr>
          <w:lang w:val="fr-CA"/>
        </w:rPr>
        <w:t xml:space="preserve">Membres du même groupe </w:t>
      </w:r>
      <w:r w:rsidR="00DD369C">
        <w:rPr>
          <w:lang w:val="fr-CA"/>
        </w:rPr>
        <w:t>qu’elle maintiennent</w:t>
      </w:r>
      <w:r w:rsidR="00DD369C" w:rsidRPr="0059083D">
        <w:rPr>
          <w:lang w:val="fr-CA"/>
        </w:rPr>
        <w:t>)</w:t>
      </w:r>
      <w:r w:rsidR="00DD369C">
        <w:rPr>
          <w:lang w:val="fr-CA"/>
        </w:rPr>
        <w:t xml:space="preserve"> des systèmes de contrôles internes </w:t>
      </w:r>
      <w:r w:rsidRPr="0059083D">
        <w:rPr>
          <w:lang w:val="fr-CA"/>
        </w:rPr>
        <w:t>(</w:t>
      </w:r>
      <w:r w:rsidR="00DD369C">
        <w:rPr>
          <w:lang w:val="fr-CA"/>
        </w:rPr>
        <w:t xml:space="preserve">notamment des systèmes </w:t>
      </w:r>
      <w:r w:rsidR="00555BAC">
        <w:rPr>
          <w:lang w:val="fr-CA"/>
        </w:rPr>
        <w:t xml:space="preserve">de comptabilité, </w:t>
      </w:r>
      <w:r w:rsidR="00DD369C">
        <w:rPr>
          <w:lang w:val="fr-CA"/>
        </w:rPr>
        <w:t>d’achat et de facturation</w:t>
      </w:r>
      <w:r w:rsidRPr="0059083D">
        <w:rPr>
          <w:lang w:val="fr-CA"/>
        </w:rPr>
        <w:t xml:space="preserve">) </w:t>
      </w:r>
      <w:r w:rsidR="00DD369C">
        <w:rPr>
          <w:lang w:val="fr-CA"/>
        </w:rPr>
        <w:t xml:space="preserve">pour assurer le respect de la LCAPE, de la </w:t>
      </w:r>
      <w:r w:rsidRPr="0059083D">
        <w:rPr>
          <w:lang w:val="fr-CA"/>
        </w:rPr>
        <w:t xml:space="preserve">FCPA, </w:t>
      </w:r>
      <w:r w:rsidR="00DD369C">
        <w:rPr>
          <w:lang w:val="fr-CA"/>
        </w:rPr>
        <w:t>de la loi du Royaume</w:t>
      </w:r>
      <w:r w:rsidR="00DD369C">
        <w:rPr>
          <w:lang w:val="fr-CA"/>
        </w:rPr>
        <w:noBreakHyphen/>
        <w:t xml:space="preserve">Uni intitulée </w:t>
      </w:r>
      <w:r w:rsidR="00DD369C" w:rsidRPr="00DD369C">
        <w:rPr>
          <w:i/>
          <w:iCs/>
          <w:lang w:val="fr-CA"/>
        </w:rPr>
        <w:t>Bribery Act</w:t>
      </w:r>
      <w:r w:rsidR="00DD369C" w:rsidRPr="0059083D">
        <w:rPr>
          <w:lang w:val="fr-CA"/>
        </w:rPr>
        <w:t xml:space="preserve"> </w:t>
      </w:r>
      <w:r w:rsidR="00DD369C">
        <w:rPr>
          <w:lang w:val="fr-CA"/>
        </w:rPr>
        <w:t>ou de toute autre loi applicable en matière de lutte contre la corruption</w:t>
      </w:r>
      <w:r w:rsidRPr="0059083D">
        <w:rPr>
          <w:lang w:val="fr-CA"/>
        </w:rPr>
        <w:t xml:space="preserve">.] </w:t>
      </w:r>
      <w:r w:rsidR="00DD369C">
        <w:rPr>
          <w:lang w:val="fr-CA"/>
        </w:rPr>
        <w:t xml:space="preserve">La </w:t>
      </w:r>
      <w:r w:rsidRPr="0059083D">
        <w:rPr>
          <w:lang w:val="fr-CA"/>
        </w:rPr>
        <w:t xml:space="preserve">Société </w:t>
      </w:r>
      <w:r w:rsidR="00DD369C">
        <w:rPr>
          <w:lang w:val="fr-CA"/>
        </w:rPr>
        <w:t xml:space="preserve">s’engage à fournir sur demande des renseignements pertinents </w:t>
      </w:r>
      <w:r w:rsidRPr="0059083D">
        <w:rPr>
          <w:lang w:val="fr-CA"/>
        </w:rPr>
        <w:t xml:space="preserve">et/ou </w:t>
      </w:r>
      <w:r w:rsidR="00DD369C">
        <w:rPr>
          <w:lang w:val="fr-CA"/>
        </w:rPr>
        <w:t xml:space="preserve">des attestations concernant </w:t>
      </w:r>
      <w:r w:rsidR="00555BAC">
        <w:rPr>
          <w:lang w:val="fr-CA"/>
        </w:rPr>
        <w:t xml:space="preserve">sa conformité aux </w:t>
      </w:r>
      <w:r w:rsidR="00DD369C">
        <w:rPr>
          <w:lang w:val="fr-CA"/>
        </w:rPr>
        <w:t>lois applicables en matière de lutte contre la corruption</w:t>
      </w:r>
      <w:r w:rsidRPr="0059083D">
        <w:rPr>
          <w:lang w:val="fr-CA"/>
        </w:rPr>
        <w:t xml:space="preserve">. La Société </w:t>
      </w:r>
      <w:r w:rsidR="00DD369C">
        <w:rPr>
          <w:lang w:val="fr-CA"/>
        </w:rPr>
        <w:t xml:space="preserve">avise chaque </w:t>
      </w:r>
      <w:r w:rsidR="000F37C7" w:rsidRPr="0059083D">
        <w:rPr>
          <w:lang w:val="fr-CA"/>
        </w:rPr>
        <w:t>Investisseur</w:t>
      </w:r>
      <w:r w:rsidRPr="0059083D">
        <w:rPr>
          <w:lang w:val="fr-CA"/>
        </w:rPr>
        <w:t xml:space="preserve"> </w:t>
      </w:r>
      <w:r w:rsidR="00DD369C">
        <w:rPr>
          <w:lang w:val="fr-CA"/>
        </w:rPr>
        <w:t xml:space="preserve">dans les meilleurs délais si elle a connaissance d’une </w:t>
      </w:r>
      <w:bookmarkStart w:id="370" w:name="_9kR3WTr1AB4DELGoq3sgrsuAYC295B"/>
      <w:r w:rsidRPr="0059083D">
        <w:rPr>
          <w:lang w:val="fr-CA"/>
        </w:rPr>
        <w:t>[</w:t>
      </w:r>
      <w:r w:rsidR="00DD369C" w:rsidRPr="00002F5E">
        <w:rPr>
          <w:lang w:val="fr-CA"/>
        </w:rPr>
        <w:t xml:space="preserve">Mesure </w:t>
      </w:r>
      <w:r w:rsidR="00002F5E" w:rsidRPr="00002F5E">
        <w:rPr>
          <w:lang w:val="fr-CA"/>
        </w:rPr>
        <w:t>d’application</w:t>
      </w:r>
      <w:bookmarkEnd w:id="370"/>
      <w:r w:rsidRPr="0059083D">
        <w:rPr>
          <w:lang w:val="fr-CA"/>
        </w:rPr>
        <w:t xml:space="preserve"> (</w:t>
      </w:r>
      <w:r w:rsidR="00DD369C">
        <w:rPr>
          <w:lang w:val="fr-CA"/>
        </w:rPr>
        <w:t xml:space="preserve">au sens de </w:t>
      </w:r>
      <w:r w:rsidRPr="0059083D">
        <w:rPr>
          <w:lang w:val="fr-CA"/>
        </w:rPr>
        <w:t xml:space="preserve">la Convention d’achat)]. La Société </w:t>
      </w:r>
      <w:r w:rsidR="00DD369C">
        <w:rPr>
          <w:lang w:val="fr-CA"/>
        </w:rPr>
        <w:t xml:space="preserve">respecte, et veille à ce que toute filiale directe ou indirecte ou </w:t>
      </w:r>
      <w:r w:rsidR="004B39B4">
        <w:rPr>
          <w:lang w:val="fr-CA"/>
        </w:rPr>
        <w:t xml:space="preserve">toute </w:t>
      </w:r>
      <w:r w:rsidR="00DD369C">
        <w:rPr>
          <w:lang w:val="fr-CA"/>
        </w:rPr>
        <w:t xml:space="preserve">entité qu’elle contrôle, existant actuellement ou constituée ultérieurement, respecte </w:t>
      </w:r>
      <w:r w:rsidRPr="0059083D">
        <w:rPr>
          <w:lang w:val="fr-CA"/>
        </w:rPr>
        <w:t>[</w:t>
      </w:r>
      <w:r w:rsidR="00DD369C">
        <w:rPr>
          <w:lang w:val="fr-CA"/>
        </w:rPr>
        <w:t xml:space="preserve">la </w:t>
      </w:r>
      <w:r w:rsidRPr="0059083D">
        <w:rPr>
          <w:lang w:val="fr-CA"/>
        </w:rPr>
        <w:t xml:space="preserve">FCPA </w:t>
      </w:r>
      <w:r w:rsidR="00DD369C">
        <w:rPr>
          <w:lang w:val="fr-CA"/>
        </w:rPr>
        <w:t>et la LCAPE</w:t>
      </w:r>
      <w:r w:rsidRPr="0059083D">
        <w:rPr>
          <w:lang w:val="fr-CA"/>
        </w:rPr>
        <w:t xml:space="preserve">]. La Société </w:t>
      </w:r>
      <w:r w:rsidR="00555BAC" w:rsidRPr="004B39B4">
        <w:rPr>
          <w:lang w:val="fr-CA"/>
        </w:rPr>
        <w:t xml:space="preserve">fait </w:t>
      </w:r>
      <w:r w:rsidR="004B39B4" w:rsidRPr="004B39B4">
        <w:rPr>
          <w:lang w:val="fr-CA"/>
        </w:rPr>
        <w:t>[</w:t>
      </w:r>
      <w:r w:rsidR="00DD369C" w:rsidRPr="004B39B4">
        <w:rPr>
          <w:lang w:val="fr-CA"/>
        </w:rPr>
        <w:t>de son mieux</w:t>
      </w:r>
      <w:r w:rsidR="004B39B4" w:rsidRPr="004B39B4">
        <w:rPr>
          <w:lang w:val="fr-CA"/>
        </w:rPr>
        <w:t>]</w:t>
      </w:r>
      <w:r w:rsidRPr="004B39B4">
        <w:rPr>
          <w:lang w:val="fr-CA"/>
        </w:rPr>
        <w:t xml:space="preserve"> </w:t>
      </w:r>
      <w:r w:rsidR="00DD369C" w:rsidRPr="004B39B4">
        <w:rPr>
          <w:lang w:val="fr-CA"/>
        </w:rPr>
        <w:t>pour que</w:t>
      </w:r>
      <w:r w:rsidR="00DD369C">
        <w:rPr>
          <w:lang w:val="fr-CA"/>
        </w:rPr>
        <w:t xml:space="preserve"> toute filiale directe ou indirecte, existant actuellement ou constituée ultérieurement, respecte à tous égards importants l’ensemble des lois applicables</w:t>
      </w:r>
      <w:bookmarkStart w:id="371" w:name="_Ref42252650"/>
      <w:r w:rsidR="008374D8" w:rsidRPr="00986BEB">
        <w:rPr>
          <w:vertAlign w:val="superscript"/>
          <w:lang w:val="fr-CA"/>
        </w:rPr>
        <w:footnoteReference w:id="63"/>
      </w:r>
      <w:bookmarkEnd w:id="371"/>
      <w:r w:rsidRPr="0059083D">
        <w:rPr>
          <w:lang w:val="fr-CA"/>
        </w:rPr>
        <w:t>.]</w:t>
      </w:r>
      <w:bookmarkEnd w:id="368"/>
      <w:r w:rsidR="00EB2C8E">
        <w:rPr>
          <w:lang w:val="fr-CA"/>
        </w:rPr>
        <w:t xml:space="preserve"> </w:t>
      </w:r>
    </w:p>
    <w:p w14:paraId="3951831A" w14:textId="08E95CCC" w:rsidR="00B62E5B" w:rsidRPr="00986BEB" w:rsidRDefault="000B08F2" w:rsidP="00B62E5B">
      <w:pPr>
        <w:pStyle w:val="StandardL2"/>
        <w:rPr>
          <w:lang w:val="fr-CA"/>
        </w:rPr>
      </w:pPr>
      <w:bookmarkStart w:id="372" w:name="_Toc132874755"/>
      <w:r w:rsidRPr="009D4254">
        <w:rPr>
          <w:lang w:val="fr-CA"/>
        </w:rPr>
        <w:t>Cybers</w:t>
      </w:r>
      <w:r w:rsidR="00E22BFB" w:rsidRPr="009D4254">
        <w:rPr>
          <w:lang w:val="fr-CA"/>
        </w:rPr>
        <w:t>é</w:t>
      </w:r>
      <w:r w:rsidRPr="009D4254">
        <w:rPr>
          <w:lang w:val="fr-CA"/>
        </w:rPr>
        <w:t>curit</w:t>
      </w:r>
      <w:r w:rsidR="00DD369C" w:rsidRPr="009D4254">
        <w:rPr>
          <w:lang w:val="fr-CA"/>
        </w:rPr>
        <w:t>é</w:t>
      </w:r>
      <w:r w:rsidRPr="009D4254">
        <w:rPr>
          <w:lang w:val="fr-CA"/>
        </w:rPr>
        <w:t>.</w:t>
      </w:r>
      <w:bookmarkStart w:id="373" w:name="_Ref42252563"/>
      <w:bookmarkEnd w:id="372"/>
      <w:r w:rsidRPr="009D4254">
        <w:rPr>
          <w:lang w:val="fr-CA"/>
        </w:rPr>
        <w:t xml:space="preserve"> </w:t>
      </w:r>
    </w:p>
    <w:p w14:paraId="071F4B47" w14:textId="7008E9AD" w:rsidR="00B62E5B" w:rsidRPr="0059083D" w:rsidRDefault="00DD369C" w:rsidP="00B62E5B">
      <w:pPr>
        <w:pStyle w:val="StandardCont2"/>
        <w:rPr>
          <w:lang w:val="fr-CA"/>
        </w:rPr>
      </w:pPr>
      <w:r>
        <w:rPr>
          <w:lang w:val="fr-CA"/>
        </w:rPr>
        <w:t xml:space="preserve">Dans les cent </w:t>
      </w:r>
      <w:r w:rsidR="0059083D">
        <w:rPr>
          <w:lang w:val="fr-CA"/>
        </w:rPr>
        <w:t>quatre-vingts</w:t>
      </w:r>
      <w:r w:rsidR="000B08F2" w:rsidRPr="0059083D">
        <w:rPr>
          <w:lang w:val="fr-CA"/>
        </w:rPr>
        <w:t xml:space="preserve"> (</w:t>
      </w:r>
      <w:r w:rsidR="000B08F2" w:rsidRPr="00986BEB">
        <w:rPr>
          <w:lang w:val="fr-CA"/>
        </w:rPr>
        <w:t>180</w:t>
      </w:r>
      <w:r w:rsidR="000B08F2" w:rsidRPr="0059083D">
        <w:rPr>
          <w:lang w:val="fr-CA"/>
        </w:rPr>
        <w:t>)</w:t>
      </w:r>
      <w:r w:rsidR="0059083D">
        <w:rPr>
          <w:lang w:val="fr-CA"/>
        </w:rPr>
        <w:t> jours</w:t>
      </w:r>
      <w:r w:rsidR="000B08F2" w:rsidRPr="0059083D">
        <w:rPr>
          <w:lang w:val="fr-CA"/>
        </w:rPr>
        <w:t xml:space="preserve"> </w:t>
      </w:r>
      <w:r>
        <w:rPr>
          <w:lang w:val="fr-CA"/>
        </w:rPr>
        <w:t xml:space="preserve">suivant la </w:t>
      </w:r>
      <w:bookmarkStart w:id="374" w:name="_9kMHG5YVt3BC6EKQEx50wv"/>
      <w:bookmarkStart w:id="375" w:name="_9kMHG5YVt3CD6ELREx50wv"/>
      <w:r w:rsidRPr="0087751F">
        <w:rPr>
          <w:lang w:val="fr-CA"/>
        </w:rPr>
        <w:t>Clôture</w:t>
      </w:r>
      <w:r>
        <w:rPr>
          <w:lang w:val="fr-CA"/>
        </w:rPr>
        <w:t xml:space="preserve"> </w:t>
      </w:r>
      <w:bookmarkEnd w:id="374"/>
      <w:bookmarkEnd w:id="375"/>
      <w:r w:rsidR="000B08F2" w:rsidRPr="0059083D">
        <w:rPr>
          <w:lang w:val="fr-CA"/>
        </w:rPr>
        <w:t>[(</w:t>
      </w:r>
      <w:r>
        <w:rPr>
          <w:lang w:val="fr-CA"/>
        </w:rPr>
        <w:t xml:space="preserve">au sens de </w:t>
      </w:r>
      <w:r w:rsidR="000B08F2" w:rsidRPr="0059083D">
        <w:rPr>
          <w:lang w:val="fr-CA"/>
        </w:rPr>
        <w:t xml:space="preserve">la Convention d’achat)], </w:t>
      </w:r>
      <w:r>
        <w:rPr>
          <w:lang w:val="fr-CA"/>
        </w:rPr>
        <w:t xml:space="preserve">la Société </w:t>
      </w:r>
      <w:r w:rsidR="002C72C8" w:rsidRPr="0059083D">
        <w:rPr>
          <w:lang w:val="fr-CA"/>
        </w:rPr>
        <w:t>déplo</w:t>
      </w:r>
      <w:r>
        <w:rPr>
          <w:lang w:val="fr-CA"/>
        </w:rPr>
        <w:t>ie</w:t>
      </w:r>
      <w:r w:rsidR="002C72C8" w:rsidRPr="0059083D">
        <w:rPr>
          <w:lang w:val="fr-CA"/>
        </w:rPr>
        <w:t xml:space="preserve"> des efforts raisonnables sur le plan commercial</w:t>
      </w:r>
      <w:r w:rsidR="000B08F2" w:rsidRPr="0059083D">
        <w:rPr>
          <w:lang w:val="fr-CA"/>
        </w:rPr>
        <w:t xml:space="preserve"> </w:t>
      </w:r>
      <w:r>
        <w:rPr>
          <w:lang w:val="fr-CA"/>
        </w:rPr>
        <w:t xml:space="preserve">pour </w:t>
      </w:r>
      <w:r w:rsidR="000B08F2" w:rsidRPr="00986BEB">
        <w:rPr>
          <w:lang w:val="fr-CA"/>
        </w:rPr>
        <w:t>a</w:t>
      </w:r>
      <w:r w:rsidR="000B08F2" w:rsidRPr="0059083D">
        <w:rPr>
          <w:lang w:val="fr-CA"/>
        </w:rPr>
        <w:t>)</w:t>
      </w:r>
      <w:r>
        <w:rPr>
          <w:lang w:val="fr-CA"/>
        </w:rPr>
        <w:t> </w:t>
      </w:r>
      <w:r w:rsidR="0087751F">
        <w:rPr>
          <w:lang w:val="fr-CA"/>
        </w:rPr>
        <w:t>déterminer</w:t>
      </w:r>
      <w:r>
        <w:rPr>
          <w:lang w:val="fr-CA"/>
        </w:rPr>
        <w:t xml:space="preserve"> </w:t>
      </w:r>
      <w:r w:rsidR="00365602">
        <w:rPr>
          <w:lang w:val="fr-CA"/>
        </w:rPr>
        <w:t>l</w:t>
      </w:r>
      <w:r>
        <w:rPr>
          <w:lang w:val="fr-CA"/>
        </w:rPr>
        <w:t xml:space="preserve">es renseignements </w:t>
      </w:r>
      <w:r w:rsidR="00365602">
        <w:rPr>
          <w:lang w:val="fr-CA"/>
        </w:rPr>
        <w:t xml:space="preserve">qui constituent des renseignements </w:t>
      </w:r>
      <w:r>
        <w:rPr>
          <w:lang w:val="fr-CA"/>
        </w:rPr>
        <w:t xml:space="preserve">commerciaux confidentiels et </w:t>
      </w:r>
      <w:r w:rsidR="00365602">
        <w:rPr>
          <w:lang w:val="fr-CA"/>
        </w:rPr>
        <w:t>d</w:t>
      </w:r>
      <w:r>
        <w:rPr>
          <w:lang w:val="fr-CA"/>
        </w:rPr>
        <w:t xml:space="preserve">es secrets commerciaux de la Société et </w:t>
      </w:r>
      <w:r w:rsidR="00365602">
        <w:rPr>
          <w:lang w:val="fr-CA"/>
        </w:rPr>
        <w:t>d</w:t>
      </w:r>
      <w:r>
        <w:rPr>
          <w:lang w:val="fr-CA"/>
        </w:rPr>
        <w:t>es renseignements au sujet de personnes physiques identifiées ou identifiables tenus par la Société ou pour son compte (collectivement, les « </w:t>
      </w:r>
      <w:r w:rsidRPr="00DD369C">
        <w:rPr>
          <w:b/>
          <w:lang w:val="fr-CA"/>
        </w:rPr>
        <w:t>Données protégées</w:t>
      </w:r>
      <w:r>
        <w:rPr>
          <w:lang w:val="fr-CA"/>
        </w:rPr>
        <w:t xml:space="preserve"> ») et limiter l’accès </w:t>
      </w:r>
      <w:r w:rsidR="000B08F2" w:rsidRPr="0059083D">
        <w:rPr>
          <w:lang w:val="fr-CA"/>
        </w:rPr>
        <w:t>(</w:t>
      </w:r>
      <w:r>
        <w:rPr>
          <w:lang w:val="fr-CA"/>
        </w:rPr>
        <w:t xml:space="preserve">notamment par des contrôles matériels </w:t>
      </w:r>
      <w:r w:rsidR="000B08F2" w:rsidRPr="0059083D">
        <w:rPr>
          <w:lang w:val="fr-CA"/>
        </w:rPr>
        <w:t xml:space="preserve">et/ou </w:t>
      </w:r>
      <w:r>
        <w:rPr>
          <w:lang w:val="fr-CA"/>
        </w:rPr>
        <w:t>techniques</w:t>
      </w:r>
      <w:r w:rsidR="000B08F2" w:rsidRPr="0059083D">
        <w:rPr>
          <w:lang w:val="fr-CA"/>
        </w:rPr>
        <w:t xml:space="preserve">) </w:t>
      </w:r>
      <w:r>
        <w:rPr>
          <w:lang w:val="fr-CA"/>
        </w:rPr>
        <w:t xml:space="preserve">à ces Données protégées aux </w:t>
      </w:r>
      <w:r w:rsidR="0087751F">
        <w:rPr>
          <w:lang w:val="fr-CA"/>
        </w:rPr>
        <w:t xml:space="preserve">seules </w:t>
      </w:r>
      <w:r>
        <w:rPr>
          <w:lang w:val="fr-CA"/>
        </w:rPr>
        <w:t>personnes qui en ont besoin</w:t>
      </w:r>
      <w:r w:rsidR="008E5739">
        <w:rPr>
          <w:lang w:val="fr-CA"/>
        </w:rPr>
        <w:t>,</w:t>
      </w:r>
      <w:r>
        <w:rPr>
          <w:lang w:val="fr-CA"/>
        </w:rPr>
        <w:t xml:space="preserve"> et </w:t>
      </w:r>
      <w:r w:rsidR="000B08F2" w:rsidRPr="00986BEB">
        <w:rPr>
          <w:lang w:val="fr-CA"/>
        </w:rPr>
        <w:t>b</w:t>
      </w:r>
      <w:r w:rsidR="000B08F2" w:rsidRPr="0059083D">
        <w:rPr>
          <w:lang w:val="fr-CA"/>
        </w:rPr>
        <w:t>)</w:t>
      </w:r>
      <w:r>
        <w:rPr>
          <w:lang w:val="fr-CA"/>
        </w:rPr>
        <w:t> mettre en œuvre des mesure</w:t>
      </w:r>
      <w:r w:rsidR="003B175A">
        <w:rPr>
          <w:lang w:val="fr-CA"/>
        </w:rPr>
        <w:t>s</w:t>
      </w:r>
      <w:r>
        <w:rPr>
          <w:lang w:val="fr-CA"/>
        </w:rPr>
        <w:t xml:space="preserve"> de protection matérielles, techniques et administratives </w:t>
      </w:r>
      <w:r w:rsidR="0087751F">
        <w:rPr>
          <w:lang w:val="fr-CA"/>
        </w:rPr>
        <w:t xml:space="preserve">raisonnables </w:t>
      </w:r>
      <w:r w:rsidR="000B08F2" w:rsidRPr="0059083D">
        <w:rPr>
          <w:lang w:val="fr-CA"/>
        </w:rPr>
        <w:t>[(</w:t>
      </w:r>
      <w:r w:rsidR="008E5739">
        <w:rPr>
          <w:lang w:val="fr-CA"/>
        </w:rPr>
        <w:t>l</w:t>
      </w:r>
      <w:r>
        <w:rPr>
          <w:lang w:val="fr-CA"/>
        </w:rPr>
        <w:t xml:space="preserve">es </w:t>
      </w:r>
      <w:r w:rsidR="000B08F2" w:rsidRPr="0059083D">
        <w:rPr>
          <w:snapToGrid w:val="0"/>
          <w:lang w:val="fr-CA"/>
        </w:rPr>
        <w:t>« </w:t>
      </w:r>
      <w:r>
        <w:rPr>
          <w:b/>
          <w:lang w:val="fr-CA"/>
        </w:rPr>
        <w:t>Solutions de cybersécurité</w:t>
      </w:r>
      <w:r w:rsidR="000B08F2" w:rsidRPr="0059083D">
        <w:rPr>
          <w:snapToGrid w:val="0"/>
          <w:lang w:val="fr-CA"/>
        </w:rPr>
        <w:t> »</w:t>
      </w:r>
      <w:r w:rsidR="000B08F2" w:rsidRPr="0059083D">
        <w:rPr>
          <w:lang w:val="fr-CA"/>
        </w:rPr>
        <w:t xml:space="preserve">)] </w:t>
      </w:r>
      <w:r>
        <w:rPr>
          <w:lang w:val="fr-CA"/>
        </w:rPr>
        <w:t>conçues pour protéger la confidentialité, l’intégrité et la disponibilité de sa technologie et de ses systèmes</w:t>
      </w:r>
      <w:r w:rsidR="000B08F2" w:rsidRPr="0059083D">
        <w:rPr>
          <w:lang w:val="fr-CA"/>
        </w:rPr>
        <w:t xml:space="preserve"> (</w:t>
      </w:r>
      <w:r>
        <w:rPr>
          <w:lang w:val="fr-CA"/>
        </w:rPr>
        <w:t>y compris des serveurs, des ordinateurs portables, des ordinateurs de bureau, des solutions infonuagiques, des conteneurs</w:t>
      </w:r>
      <w:r w:rsidR="000B08F2" w:rsidRPr="0059083D">
        <w:rPr>
          <w:lang w:val="fr-CA"/>
        </w:rPr>
        <w:t xml:space="preserve">, </w:t>
      </w:r>
      <w:r>
        <w:rPr>
          <w:lang w:val="fr-CA"/>
        </w:rPr>
        <w:t>des environnements virtuels et des centres de données</w:t>
      </w:r>
      <w:r w:rsidR="000B08F2" w:rsidRPr="0059083D">
        <w:rPr>
          <w:lang w:val="fr-CA"/>
        </w:rPr>
        <w:t xml:space="preserve">) </w:t>
      </w:r>
      <w:r>
        <w:rPr>
          <w:lang w:val="fr-CA"/>
        </w:rPr>
        <w:t xml:space="preserve">et </w:t>
      </w:r>
      <w:r w:rsidR="008E5739">
        <w:rPr>
          <w:lang w:val="fr-CA"/>
        </w:rPr>
        <w:t xml:space="preserve">de </w:t>
      </w:r>
      <w:r>
        <w:rPr>
          <w:lang w:val="fr-CA"/>
        </w:rPr>
        <w:t>toutes les Données protégées</w:t>
      </w:r>
      <w:r w:rsidR="000B08F2" w:rsidRPr="0059083D">
        <w:rPr>
          <w:lang w:val="fr-CA"/>
        </w:rPr>
        <w:t xml:space="preserve">. [La Société </w:t>
      </w:r>
      <w:r w:rsidR="002C72C8" w:rsidRPr="0059083D">
        <w:rPr>
          <w:lang w:val="fr-CA"/>
        </w:rPr>
        <w:t>déplo</w:t>
      </w:r>
      <w:r>
        <w:rPr>
          <w:lang w:val="fr-CA"/>
        </w:rPr>
        <w:t>ie</w:t>
      </w:r>
      <w:r w:rsidR="002C72C8" w:rsidRPr="0059083D">
        <w:rPr>
          <w:lang w:val="fr-CA"/>
        </w:rPr>
        <w:t xml:space="preserve"> des efforts raisonnables sur le plan commercial</w:t>
      </w:r>
      <w:r w:rsidR="000B08F2" w:rsidRPr="0059083D">
        <w:rPr>
          <w:lang w:val="fr-CA"/>
        </w:rPr>
        <w:t xml:space="preserve"> </w:t>
      </w:r>
      <w:r>
        <w:rPr>
          <w:lang w:val="fr-CA"/>
        </w:rPr>
        <w:t>pour s’assurer que les Solutions de c</w:t>
      </w:r>
      <w:r w:rsidR="000B08F2" w:rsidRPr="0059083D">
        <w:rPr>
          <w:lang w:val="fr-CA"/>
        </w:rPr>
        <w:t>ybers</w:t>
      </w:r>
      <w:r w:rsidR="00E22BFB">
        <w:rPr>
          <w:lang w:val="fr-CA"/>
        </w:rPr>
        <w:t>é</w:t>
      </w:r>
      <w:r w:rsidR="000B08F2" w:rsidRPr="0059083D">
        <w:rPr>
          <w:lang w:val="fr-CA"/>
        </w:rPr>
        <w:t>curit</w:t>
      </w:r>
      <w:r>
        <w:rPr>
          <w:lang w:val="fr-CA"/>
        </w:rPr>
        <w:t>é</w:t>
      </w:r>
      <w:r w:rsidR="000B08F2" w:rsidRPr="0059083D">
        <w:rPr>
          <w:lang w:val="fr-CA"/>
        </w:rPr>
        <w:t xml:space="preserve"> (</w:t>
      </w:r>
      <w:r w:rsidR="000B08F2" w:rsidRPr="00986BEB">
        <w:rPr>
          <w:lang w:val="fr-CA"/>
        </w:rPr>
        <w:t>x</w:t>
      </w:r>
      <w:r w:rsidR="000B08F2" w:rsidRPr="0059083D">
        <w:rPr>
          <w:lang w:val="fr-CA"/>
        </w:rPr>
        <w:t>)</w:t>
      </w:r>
      <w:r>
        <w:rPr>
          <w:lang w:val="fr-CA"/>
        </w:rPr>
        <w:t xml:space="preserve"> sont à jour et comprennent des protections conformes aux normes du secteur </w:t>
      </w:r>
      <w:r w:rsidR="000B08F2" w:rsidRPr="0059083D">
        <w:rPr>
          <w:lang w:val="fr-CA"/>
        </w:rPr>
        <w:t>(</w:t>
      </w:r>
      <w:r>
        <w:rPr>
          <w:lang w:val="fr-CA"/>
        </w:rPr>
        <w:t>p.</w:t>
      </w:r>
      <w:r w:rsidR="00E22BFB">
        <w:rPr>
          <w:lang w:val="fr-CA"/>
        </w:rPr>
        <w:t> </w:t>
      </w:r>
      <w:r>
        <w:rPr>
          <w:lang w:val="fr-CA"/>
        </w:rPr>
        <w:t xml:space="preserve">ex. des </w:t>
      </w:r>
      <w:r w:rsidR="000B08F2" w:rsidRPr="0059083D">
        <w:rPr>
          <w:lang w:val="fr-CA"/>
        </w:rPr>
        <w:t xml:space="preserve">antivirus, </w:t>
      </w:r>
      <w:r>
        <w:rPr>
          <w:lang w:val="fr-CA"/>
        </w:rPr>
        <w:t xml:space="preserve">des outils de détection et </w:t>
      </w:r>
      <w:r w:rsidR="00FF6DE8">
        <w:rPr>
          <w:lang w:val="fr-CA"/>
        </w:rPr>
        <w:t xml:space="preserve">d’intervention </w:t>
      </w:r>
      <w:r>
        <w:rPr>
          <w:lang w:val="fr-CA"/>
        </w:rPr>
        <w:t>aux points terminaux et des outils de recherche de menaces</w:t>
      </w:r>
      <w:r w:rsidR="000B08F2" w:rsidRPr="0059083D">
        <w:rPr>
          <w:lang w:val="fr-CA"/>
        </w:rPr>
        <w:t>), (</w:t>
      </w:r>
      <w:r w:rsidR="000B08F2" w:rsidRPr="00986BEB">
        <w:rPr>
          <w:lang w:val="fr-CA"/>
        </w:rPr>
        <w:t>y</w:t>
      </w:r>
      <w:r w:rsidR="000B08F2" w:rsidRPr="0059083D">
        <w:rPr>
          <w:lang w:val="fr-CA"/>
        </w:rPr>
        <w:t>)</w:t>
      </w:r>
      <w:r>
        <w:rPr>
          <w:lang w:val="fr-CA"/>
        </w:rPr>
        <w:t xml:space="preserve"> dans la mesure </w:t>
      </w:r>
      <w:r w:rsidR="008E5739">
        <w:rPr>
          <w:lang w:val="fr-CA"/>
        </w:rPr>
        <w:t xml:space="preserve">où </w:t>
      </w:r>
      <w:r w:rsidR="000B08F2" w:rsidRPr="0059083D">
        <w:rPr>
          <w:lang w:val="fr-CA"/>
        </w:rPr>
        <w:t xml:space="preserve">la Société </w:t>
      </w:r>
      <w:r>
        <w:rPr>
          <w:lang w:val="fr-CA"/>
        </w:rPr>
        <w:t xml:space="preserve">ou </w:t>
      </w:r>
      <w:r w:rsidR="000B08F2" w:rsidRPr="0059083D">
        <w:rPr>
          <w:lang w:val="fr-CA"/>
        </w:rPr>
        <w:t>le Conseil d’administration</w:t>
      </w:r>
      <w:r w:rsidR="008E5739">
        <w:rPr>
          <w:lang w:val="fr-CA"/>
        </w:rPr>
        <w:t xml:space="preserve"> le juge nécessaire</w:t>
      </w:r>
      <w:r w:rsidR="000B08F2" w:rsidRPr="0059083D">
        <w:rPr>
          <w:lang w:val="fr-CA"/>
        </w:rPr>
        <w:t xml:space="preserve">, </w:t>
      </w:r>
      <w:r>
        <w:rPr>
          <w:lang w:val="fr-CA"/>
        </w:rPr>
        <w:t xml:space="preserve">sont </w:t>
      </w:r>
      <w:r w:rsidR="00E22BFB">
        <w:rPr>
          <w:lang w:val="fr-CA"/>
        </w:rPr>
        <w:t>couvertes par une garantie de prévention des atteintes du fournisseur attestant de leur efficacité</w:t>
      </w:r>
      <w:r w:rsidR="000B08F2" w:rsidRPr="0059083D">
        <w:rPr>
          <w:lang w:val="fr-CA"/>
        </w:rPr>
        <w:t xml:space="preserve">, </w:t>
      </w:r>
      <w:r w:rsidR="00E22BFB">
        <w:rPr>
          <w:lang w:val="fr-CA"/>
        </w:rPr>
        <w:t>et</w:t>
      </w:r>
      <w:r w:rsidR="000B08F2" w:rsidRPr="0059083D">
        <w:rPr>
          <w:lang w:val="fr-CA"/>
        </w:rPr>
        <w:t xml:space="preserve"> (</w:t>
      </w:r>
      <w:r w:rsidR="000B08F2" w:rsidRPr="00986BEB">
        <w:rPr>
          <w:lang w:val="fr-CA"/>
        </w:rPr>
        <w:t>z</w:t>
      </w:r>
      <w:r w:rsidR="000B08F2" w:rsidRPr="0059083D">
        <w:rPr>
          <w:lang w:val="fr-CA"/>
        </w:rPr>
        <w:t>)</w:t>
      </w:r>
      <w:r w:rsidR="00E22BFB">
        <w:rPr>
          <w:lang w:val="fr-CA"/>
        </w:rPr>
        <w:t> </w:t>
      </w:r>
      <w:r w:rsidR="008E5739">
        <w:rPr>
          <w:lang w:val="fr-CA"/>
        </w:rPr>
        <w:t xml:space="preserve">obligent </w:t>
      </w:r>
      <w:r w:rsidR="00E22BFB">
        <w:rPr>
          <w:lang w:val="fr-CA"/>
        </w:rPr>
        <w:t xml:space="preserve">les fournisseurs </w:t>
      </w:r>
      <w:r w:rsidR="008E5739">
        <w:rPr>
          <w:lang w:val="fr-CA"/>
        </w:rPr>
        <w:t xml:space="preserve">à aviser </w:t>
      </w:r>
      <w:r w:rsidR="00E22BFB">
        <w:rPr>
          <w:lang w:val="fr-CA"/>
        </w:rPr>
        <w:t xml:space="preserve">la </w:t>
      </w:r>
      <w:r w:rsidR="000B08F2" w:rsidRPr="0059083D">
        <w:rPr>
          <w:lang w:val="fr-CA"/>
        </w:rPr>
        <w:t xml:space="preserve">Société </w:t>
      </w:r>
      <w:r w:rsidR="00E22BFB">
        <w:rPr>
          <w:lang w:val="fr-CA"/>
        </w:rPr>
        <w:t xml:space="preserve">de tout incident </w:t>
      </w:r>
      <w:r w:rsidR="003A2697">
        <w:rPr>
          <w:lang w:val="fr-CA"/>
        </w:rPr>
        <w:t xml:space="preserve">de sécurité qui pose un risque pour les renseignements de </w:t>
      </w:r>
      <w:r w:rsidR="000B08F2" w:rsidRPr="0059083D">
        <w:rPr>
          <w:lang w:val="fr-CA"/>
        </w:rPr>
        <w:t>la Société (</w:t>
      </w:r>
      <w:r w:rsidR="003A2697">
        <w:rPr>
          <w:lang w:val="fr-CA"/>
        </w:rPr>
        <w:t>que les renseignements aient été ou non réellement compromis</w:t>
      </w:r>
      <w:r w:rsidR="000B08F2" w:rsidRPr="0059083D">
        <w:rPr>
          <w:lang w:val="fr-CA"/>
        </w:rPr>
        <w:t>)</w:t>
      </w:r>
      <w:bookmarkStart w:id="376" w:name="_Ref42252652"/>
      <w:r w:rsidR="00FF6DE8" w:rsidRPr="00FF6DE8">
        <w:rPr>
          <w:vertAlign w:val="superscript"/>
          <w:lang w:val="fr-CA"/>
        </w:rPr>
        <w:t xml:space="preserve"> </w:t>
      </w:r>
      <w:r w:rsidR="00FF6DE8" w:rsidRPr="00986BEB">
        <w:rPr>
          <w:vertAlign w:val="superscript"/>
          <w:lang w:val="fr-CA"/>
        </w:rPr>
        <w:footnoteReference w:id="64"/>
      </w:r>
      <w:bookmarkEnd w:id="376"/>
      <w:r w:rsidR="000B08F2" w:rsidRPr="0059083D">
        <w:rPr>
          <w:lang w:val="fr-CA"/>
        </w:rPr>
        <w:t xml:space="preserve">.] La Société </w:t>
      </w:r>
      <w:r w:rsidR="003A2697">
        <w:rPr>
          <w:lang w:val="fr-CA"/>
        </w:rPr>
        <w:t xml:space="preserve">évalue périodiquement, au moins une fois par année, si ces mesures de protection devraient être mises à jour pour maintenir un niveau de </w:t>
      </w:r>
      <w:r w:rsidR="00FF6DE8">
        <w:rPr>
          <w:lang w:val="fr-CA"/>
        </w:rPr>
        <w:t>sécurité</w:t>
      </w:r>
      <w:r w:rsidR="003A2697">
        <w:rPr>
          <w:lang w:val="fr-CA"/>
        </w:rPr>
        <w:t xml:space="preserve"> </w:t>
      </w:r>
      <w:r w:rsidR="008E5739">
        <w:rPr>
          <w:lang w:val="fr-CA"/>
        </w:rPr>
        <w:t xml:space="preserve">bien </w:t>
      </w:r>
      <w:r w:rsidR="00192B5D">
        <w:rPr>
          <w:lang w:val="fr-CA"/>
        </w:rPr>
        <w:t xml:space="preserve">adapté aux </w:t>
      </w:r>
      <w:r w:rsidR="003A2697">
        <w:rPr>
          <w:lang w:val="fr-CA"/>
        </w:rPr>
        <w:t xml:space="preserve">risques </w:t>
      </w:r>
      <w:r w:rsidR="00192B5D">
        <w:rPr>
          <w:lang w:val="fr-CA"/>
        </w:rPr>
        <w:t xml:space="preserve">auxquels les systèmes et les </w:t>
      </w:r>
      <w:r>
        <w:rPr>
          <w:lang w:val="fr-CA"/>
        </w:rPr>
        <w:t>Données protégées</w:t>
      </w:r>
      <w:r w:rsidR="00192B5D">
        <w:rPr>
          <w:lang w:val="fr-CA"/>
        </w:rPr>
        <w:t xml:space="preserve"> de la Société sont exposés</w:t>
      </w:r>
      <w:r w:rsidR="000B08F2" w:rsidRPr="0059083D">
        <w:rPr>
          <w:lang w:val="fr-CA"/>
        </w:rPr>
        <w:t xml:space="preserve">. La Société </w:t>
      </w:r>
      <w:r w:rsidR="00FF6DE8">
        <w:rPr>
          <w:lang w:val="fr-CA"/>
        </w:rPr>
        <w:t xml:space="preserve">montre à </w:t>
      </w:r>
      <w:r w:rsidR="00192B5D">
        <w:rPr>
          <w:lang w:val="fr-CA"/>
        </w:rPr>
        <w:t xml:space="preserve">ses employés </w:t>
      </w:r>
      <w:r w:rsidR="00FF6DE8">
        <w:rPr>
          <w:lang w:val="fr-CA"/>
        </w:rPr>
        <w:t xml:space="preserve">comment </w:t>
      </w:r>
      <w:r w:rsidR="00192B5D">
        <w:rPr>
          <w:lang w:val="fr-CA"/>
        </w:rPr>
        <w:t xml:space="preserve">utiliser et stocker </w:t>
      </w:r>
      <w:r w:rsidR="008E5739">
        <w:rPr>
          <w:lang w:val="fr-CA"/>
        </w:rPr>
        <w:t xml:space="preserve">adéquatement </w:t>
      </w:r>
      <w:r w:rsidR="00192B5D">
        <w:rPr>
          <w:lang w:val="fr-CA"/>
        </w:rPr>
        <w:t xml:space="preserve">les </w:t>
      </w:r>
      <w:r>
        <w:rPr>
          <w:lang w:val="fr-CA"/>
        </w:rPr>
        <w:t>Données protégées</w:t>
      </w:r>
      <w:r w:rsidR="00192B5D">
        <w:rPr>
          <w:lang w:val="fr-CA"/>
        </w:rPr>
        <w:t xml:space="preserve">, notamment en leur </w:t>
      </w:r>
      <w:r w:rsidR="008E5739">
        <w:rPr>
          <w:lang w:val="fr-CA"/>
        </w:rPr>
        <w:t xml:space="preserve">donnant </w:t>
      </w:r>
      <w:r w:rsidR="00192B5D">
        <w:rPr>
          <w:lang w:val="fr-CA"/>
        </w:rPr>
        <w:t xml:space="preserve">les formations périodiques jugées raisonnablement nécessaires par la </w:t>
      </w:r>
      <w:r w:rsidR="000B08F2" w:rsidRPr="0059083D">
        <w:rPr>
          <w:lang w:val="fr-CA"/>
        </w:rPr>
        <w:t xml:space="preserve">Société </w:t>
      </w:r>
      <w:r w:rsidR="00192B5D">
        <w:rPr>
          <w:lang w:val="fr-CA"/>
        </w:rPr>
        <w:t xml:space="preserve">ou </w:t>
      </w:r>
      <w:r w:rsidR="000B08F2" w:rsidRPr="0059083D">
        <w:rPr>
          <w:lang w:val="fr-CA"/>
        </w:rPr>
        <w:t>le Conseil d’administration.</w:t>
      </w:r>
      <w:bookmarkEnd w:id="373"/>
      <w:r w:rsidR="00230BD1">
        <w:rPr>
          <w:lang w:val="fr-CA"/>
        </w:rPr>
        <w:t xml:space="preserve"> </w:t>
      </w:r>
    </w:p>
    <w:p w14:paraId="56978A34" w14:textId="66E84191" w:rsidR="00B62E5B" w:rsidRPr="00986BEB" w:rsidRDefault="000B08F2" w:rsidP="00B62E5B">
      <w:pPr>
        <w:pStyle w:val="StandardL2"/>
        <w:rPr>
          <w:lang w:val="fr-CA"/>
        </w:rPr>
      </w:pPr>
      <w:bookmarkStart w:id="377" w:name="_Toc132874756"/>
      <w:r w:rsidRPr="009D4254">
        <w:rPr>
          <w:lang w:val="fr-CA"/>
        </w:rPr>
        <w:t>[</w:t>
      </w:r>
      <w:r w:rsidR="00192B5D" w:rsidRPr="009D4254">
        <w:rPr>
          <w:lang w:val="fr-CA"/>
        </w:rPr>
        <w:t>Société de portefeuille immobilière</w:t>
      </w:r>
      <w:r w:rsidRPr="009D4254">
        <w:rPr>
          <w:lang w:val="fr-CA"/>
        </w:rPr>
        <w:t>.</w:t>
      </w:r>
      <w:bookmarkEnd w:id="377"/>
      <w:r w:rsidRPr="009D4254">
        <w:rPr>
          <w:lang w:val="fr-CA"/>
        </w:rPr>
        <w:t xml:space="preserve"> </w:t>
      </w:r>
    </w:p>
    <w:p w14:paraId="0E9DDB90" w14:textId="529D846B" w:rsidR="00B62E5B" w:rsidRPr="0059083D" w:rsidRDefault="00192B5D" w:rsidP="00B62E5B">
      <w:pPr>
        <w:pStyle w:val="StandardCont2"/>
        <w:rPr>
          <w:lang w:val="fr-CA"/>
        </w:rPr>
      </w:pPr>
      <w:r>
        <w:rPr>
          <w:lang w:val="fr-CA"/>
        </w:rPr>
        <w:t xml:space="preserve">Dans les meilleurs délais </w:t>
      </w:r>
      <w:r w:rsidR="000B08F2" w:rsidRPr="0059083D">
        <w:rPr>
          <w:lang w:val="fr-CA"/>
        </w:rPr>
        <w:t>(</w:t>
      </w:r>
      <w:r>
        <w:rPr>
          <w:lang w:val="fr-CA"/>
        </w:rPr>
        <w:t>et dans tous les cas au plus tard dix </w:t>
      </w:r>
      <w:r w:rsidR="000B08F2" w:rsidRPr="0059083D">
        <w:rPr>
          <w:lang w:val="fr-CA"/>
        </w:rPr>
        <w:t>(</w:t>
      </w:r>
      <w:r w:rsidR="000B08F2" w:rsidRPr="00986BEB">
        <w:rPr>
          <w:lang w:val="fr-CA"/>
        </w:rPr>
        <w:t>10</w:t>
      </w:r>
      <w:r w:rsidR="000B08F2" w:rsidRPr="0059083D">
        <w:rPr>
          <w:lang w:val="fr-CA"/>
        </w:rPr>
        <w:t>)</w:t>
      </w:r>
      <w:r w:rsidR="0059083D">
        <w:rPr>
          <w:lang w:val="fr-CA"/>
        </w:rPr>
        <w:t> jours</w:t>
      </w:r>
      <w:r w:rsidR="000B08F2" w:rsidRPr="0059083D">
        <w:rPr>
          <w:lang w:val="fr-CA"/>
        </w:rPr>
        <w:t xml:space="preserve"> </w:t>
      </w:r>
      <w:r>
        <w:rPr>
          <w:lang w:val="fr-CA"/>
        </w:rPr>
        <w:t>après la réception</w:t>
      </w:r>
      <w:r w:rsidR="00E904A0">
        <w:rPr>
          <w:lang w:val="fr-CA"/>
        </w:rPr>
        <w:t>)</w:t>
      </w:r>
      <w:r>
        <w:rPr>
          <w:lang w:val="fr-CA"/>
        </w:rPr>
        <w:t xml:space="preserve"> d’une demande écrite d’un </w:t>
      </w:r>
      <w:r w:rsidR="000F37C7" w:rsidRPr="0059083D">
        <w:rPr>
          <w:lang w:val="fr-CA"/>
        </w:rPr>
        <w:t>Investisseur</w:t>
      </w:r>
      <w:r w:rsidR="000B08F2" w:rsidRPr="0059083D">
        <w:rPr>
          <w:lang w:val="fr-CA"/>
        </w:rPr>
        <w:t xml:space="preserve">, la Société </w:t>
      </w:r>
      <w:r>
        <w:rPr>
          <w:lang w:val="fr-CA"/>
        </w:rPr>
        <w:t xml:space="preserve">fournit à cet </w:t>
      </w:r>
      <w:r w:rsidR="000F37C7" w:rsidRPr="0059083D">
        <w:rPr>
          <w:lang w:val="fr-CA"/>
        </w:rPr>
        <w:t>Investisseur</w:t>
      </w:r>
      <w:r w:rsidR="000B08F2" w:rsidRPr="0059083D">
        <w:rPr>
          <w:lang w:val="fr-CA"/>
        </w:rPr>
        <w:t xml:space="preserve"> </w:t>
      </w:r>
      <w:r>
        <w:rPr>
          <w:lang w:val="fr-CA"/>
        </w:rPr>
        <w:t xml:space="preserve">une déclaration écrite </w:t>
      </w:r>
      <w:r w:rsidR="00167AF6">
        <w:rPr>
          <w:lang w:val="fr-CA"/>
        </w:rPr>
        <w:t xml:space="preserve">indiquant </w:t>
      </w:r>
      <w:r>
        <w:rPr>
          <w:lang w:val="fr-CA"/>
        </w:rPr>
        <w:t xml:space="preserve">si la participation de celui-ci dans </w:t>
      </w:r>
      <w:r w:rsidR="000B08F2" w:rsidRPr="0059083D">
        <w:rPr>
          <w:lang w:val="fr-CA"/>
        </w:rPr>
        <w:t xml:space="preserve">la Société </w:t>
      </w:r>
      <w:r>
        <w:rPr>
          <w:lang w:val="fr-CA"/>
        </w:rPr>
        <w:t>constitue ou non une participation immobilière américaine</w:t>
      </w:r>
      <w:r w:rsidR="000B08F2" w:rsidRPr="0059083D">
        <w:rPr>
          <w:lang w:val="fr-CA"/>
        </w:rPr>
        <w:t xml:space="preserve">. </w:t>
      </w:r>
      <w:r>
        <w:rPr>
          <w:lang w:val="fr-CA"/>
        </w:rPr>
        <w:t>La position de la Société est conforme aux exigences de l’alinéa </w:t>
      </w:r>
      <w:r w:rsidR="000B08F2" w:rsidRPr="00986BEB">
        <w:rPr>
          <w:lang w:val="fr-CA"/>
        </w:rPr>
        <w:t>1.897</w:t>
      </w:r>
      <w:r w:rsidRPr="00986BEB">
        <w:rPr>
          <w:lang w:val="fr-CA"/>
        </w:rPr>
        <w:noBreakHyphen/>
      </w:r>
      <w:r w:rsidR="000B08F2" w:rsidRPr="00986BEB">
        <w:rPr>
          <w:lang w:val="fr-CA"/>
        </w:rPr>
        <w:t>2</w:t>
      </w:r>
      <w:r w:rsidR="000B08F2" w:rsidRPr="0059083D">
        <w:rPr>
          <w:lang w:val="fr-CA"/>
        </w:rPr>
        <w:t>(h)(</w:t>
      </w:r>
      <w:r w:rsidR="000B08F2" w:rsidRPr="00986BEB">
        <w:rPr>
          <w:lang w:val="fr-CA"/>
        </w:rPr>
        <w:t>1</w:t>
      </w:r>
      <w:r w:rsidR="000B08F2" w:rsidRPr="0059083D">
        <w:rPr>
          <w:lang w:val="fr-CA"/>
        </w:rPr>
        <w:t xml:space="preserve">) </w:t>
      </w:r>
      <w:r>
        <w:rPr>
          <w:lang w:val="fr-CA"/>
        </w:rPr>
        <w:t xml:space="preserve">des Règlements du Trésor ou de tout règlement </w:t>
      </w:r>
      <w:r w:rsidR="00167AF6">
        <w:rPr>
          <w:lang w:val="fr-CA"/>
        </w:rPr>
        <w:t>qui le</w:t>
      </w:r>
      <w:r w:rsidR="00E904A0">
        <w:rPr>
          <w:lang w:val="fr-CA"/>
        </w:rPr>
        <w:t>s</w:t>
      </w:r>
      <w:r w:rsidR="00167AF6">
        <w:rPr>
          <w:lang w:val="fr-CA"/>
        </w:rPr>
        <w:t xml:space="preserve"> remplace</w:t>
      </w:r>
      <w:r w:rsidR="000B08F2" w:rsidRPr="0059083D">
        <w:rPr>
          <w:lang w:val="fr-CA"/>
        </w:rPr>
        <w:t xml:space="preserve">, </w:t>
      </w:r>
      <w:r>
        <w:rPr>
          <w:lang w:val="fr-CA"/>
        </w:rPr>
        <w:t xml:space="preserve">et </w:t>
      </w:r>
      <w:r w:rsidR="000B08F2" w:rsidRPr="0059083D">
        <w:rPr>
          <w:lang w:val="fr-CA"/>
        </w:rPr>
        <w:t xml:space="preserve">la Société </w:t>
      </w:r>
      <w:r w:rsidR="00A665C8">
        <w:rPr>
          <w:lang w:val="fr-CA"/>
        </w:rPr>
        <w:t xml:space="preserve">remet en temps opportun à </w:t>
      </w:r>
      <w:r>
        <w:rPr>
          <w:lang w:val="fr-CA"/>
        </w:rPr>
        <w:t>l’</w:t>
      </w:r>
      <w:r w:rsidR="000B08F2" w:rsidRPr="0059083D">
        <w:rPr>
          <w:lang w:val="fr-CA"/>
        </w:rPr>
        <w:t xml:space="preserve">Internal Revenue Service, </w:t>
      </w:r>
      <w:r>
        <w:rPr>
          <w:lang w:val="fr-CA"/>
        </w:rPr>
        <w:t>conformément aux exigences de l’alinéa </w:t>
      </w:r>
      <w:r w:rsidR="000B08F2" w:rsidRPr="00986BEB">
        <w:rPr>
          <w:lang w:val="fr-CA"/>
        </w:rPr>
        <w:t>1.897-2</w:t>
      </w:r>
      <w:r w:rsidR="000B08F2" w:rsidRPr="0059083D">
        <w:rPr>
          <w:lang w:val="fr-CA"/>
        </w:rPr>
        <w:t>(h)(</w:t>
      </w:r>
      <w:r w:rsidR="000B08F2" w:rsidRPr="00986BEB">
        <w:rPr>
          <w:lang w:val="fr-CA"/>
        </w:rPr>
        <w:t>2</w:t>
      </w:r>
      <w:r w:rsidR="000B08F2" w:rsidRPr="0059083D">
        <w:rPr>
          <w:lang w:val="fr-CA"/>
        </w:rPr>
        <w:t xml:space="preserve">) </w:t>
      </w:r>
      <w:r>
        <w:rPr>
          <w:lang w:val="fr-CA"/>
        </w:rPr>
        <w:t xml:space="preserve">des Règlements du Trésor ou de tout règlement </w:t>
      </w:r>
      <w:r w:rsidR="00167AF6">
        <w:rPr>
          <w:lang w:val="fr-CA"/>
        </w:rPr>
        <w:t>qui le</w:t>
      </w:r>
      <w:r w:rsidR="00E904A0">
        <w:rPr>
          <w:lang w:val="fr-CA"/>
        </w:rPr>
        <w:t>s</w:t>
      </w:r>
      <w:r w:rsidR="00167AF6">
        <w:rPr>
          <w:lang w:val="fr-CA"/>
        </w:rPr>
        <w:t xml:space="preserve"> </w:t>
      </w:r>
      <w:r>
        <w:rPr>
          <w:lang w:val="fr-CA"/>
        </w:rPr>
        <w:t>rempla</w:t>
      </w:r>
      <w:r w:rsidR="00167AF6">
        <w:rPr>
          <w:lang w:val="fr-CA"/>
        </w:rPr>
        <w:t>ce</w:t>
      </w:r>
      <w:r>
        <w:rPr>
          <w:lang w:val="fr-CA"/>
        </w:rPr>
        <w:t xml:space="preserve"> et dans la mesure requise par ces exigences</w:t>
      </w:r>
      <w:r w:rsidR="000B08F2" w:rsidRPr="0059083D">
        <w:rPr>
          <w:lang w:val="fr-CA"/>
        </w:rPr>
        <w:t xml:space="preserve">, </w:t>
      </w:r>
      <w:r w:rsidR="00A665C8">
        <w:rPr>
          <w:lang w:val="fr-CA"/>
        </w:rPr>
        <w:t xml:space="preserve">un avis selon lequel elle </w:t>
      </w:r>
      <w:r>
        <w:rPr>
          <w:lang w:val="fr-CA"/>
        </w:rPr>
        <w:t>a fait cette déclaration</w:t>
      </w:r>
      <w:r w:rsidR="000B08F2" w:rsidRPr="0059083D">
        <w:rPr>
          <w:lang w:val="fr-CA"/>
        </w:rPr>
        <w:t>. L</w:t>
      </w:r>
      <w:r>
        <w:rPr>
          <w:lang w:val="fr-CA"/>
        </w:rPr>
        <w:t>’obligation de l</w:t>
      </w:r>
      <w:r w:rsidR="000B08F2" w:rsidRPr="0059083D">
        <w:rPr>
          <w:lang w:val="fr-CA"/>
        </w:rPr>
        <w:t>a Société</w:t>
      </w:r>
      <w:r>
        <w:rPr>
          <w:lang w:val="fr-CA"/>
        </w:rPr>
        <w:t xml:space="preserve"> de fournir cette déclaration écrite demeure en vigueur même si une catégorie d’actions de </w:t>
      </w:r>
      <w:r w:rsidR="000B08F2" w:rsidRPr="0059083D">
        <w:rPr>
          <w:lang w:val="fr-CA"/>
        </w:rPr>
        <w:t>la Société</w:t>
      </w:r>
      <w:r>
        <w:rPr>
          <w:lang w:val="fr-CA"/>
        </w:rPr>
        <w:t xml:space="preserve"> est négociée régulièrement sur un marché boursier réglementé ou s’il n’y a aucune </w:t>
      </w:r>
      <w:r w:rsidR="004B6285" w:rsidRPr="0059083D">
        <w:rPr>
          <w:lang w:val="fr-CA"/>
        </w:rPr>
        <w:t>Action privilégiée</w:t>
      </w:r>
      <w:r>
        <w:rPr>
          <w:lang w:val="fr-CA"/>
        </w:rPr>
        <w:t xml:space="preserve"> </w:t>
      </w:r>
      <w:r w:rsidR="004B6285" w:rsidRPr="0059083D">
        <w:rPr>
          <w:lang w:val="fr-CA"/>
        </w:rPr>
        <w:t>[de catégorie A]</w:t>
      </w:r>
      <w:r w:rsidR="00A665C8">
        <w:rPr>
          <w:lang w:val="fr-CA"/>
        </w:rPr>
        <w:t xml:space="preserve"> </w:t>
      </w:r>
      <w:r w:rsidR="002A0F83" w:rsidRPr="0059083D">
        <w:rPr>
          <w:lang w:val="fr-CA"/>
        </w:rPr>
        <w:t>alors en circulation</w:t>
      </w:r>
      <w:r w:rsidR="00A665C8" w:rsidRPr="00986BEB">
        <w:rPr>
          <w:vertAlign w:val="superscript"/>
          <w:lang w:val="fr-CA"/>
        </w:rPr>
        <w:footnoteReference w:id="65"/>
      </w:r>
      <w:r w:rsidR="000B08F2" w:rsidRPr="0059083D">
        <w:rPr>
          <w:lang w:val="fr-CA"/>
        </w:rPr>
        <w:t>.]</w:t>
      </w:r>
    </w:p>
    <w:p w14:paraId="7869A24D" w14:textId="46DEA333" w:rsidR="00037C7E" w:rsidRPr="00986BEB" w:rsidRDefault="00365602">
      <w:pPr>
        <w:pStyle w:val="StandardL2"/>
        <w:rPr>
          <w:lang w:val="fr-CA"/>
        </w:rPr>
      </w:pPr>
      <w:bookmarkStart w:id="378" w:name="_Ref448380657"/>
      <w:bookmarkStart w:id="379" w:name="_Toc132874757"/>
      <w:r w:rsidRPr="009D4254">
        <w:rPr>
          <w:lang w:val="fr-CA"/>
        </w:rPr>
        <w:t xml:space="preserve">Fin </w:t>
      </w:r>
      <w:r w:rsidR="00192B5D" w:rsidRPr="009D4254">
        <w:rPr>
          <w:lang w:val="fr-CA"/>
        </w:rPr>
        <w:t>des engagements</w:t>
      </w:r>
      <w:r w:rsidR="000B08F2" w:rsidRPr="009D4254">
        <w:rPr>
          <w:snapToGrid w:val="0"/>
          <w:lang w:val="fr-CA"/>
        </w:rPr>
        <w:t>.</w:t>
      </w:r>
      <w:bookmarkEnd w:id="378"/>
      <w:bookmarkEnd w:id="379"/>
    </w:p>
    <w:p w14:paraId="07844DA0" w14:textId="23A5A966" w:rsidR="00037C7E" w:rsidRPr="0059083D" w:rsidRDefault="00365602">
      <w:pPr>
        <w:pStyle w:val="StandardCont2"/>
        <w:rPr>
          <w:lang w:val="fr-CA"/>
        </w:rPr>
      </w:pPr>
      <w:r w:rsidRPr="009D4254">
        <w:rPr>
          <w:snapToGrid w:val="0"/>
          <w:lang w:val="fr-CA"/>
        </w:rPr>
        <w:t xml:space="preserve">Les engagements énoncés au </w:t>
      </w:r>
      <w:r w:rsidR="0059083D" w:rsidRPr="009D4254">
        <w:rPr>
          <w:snapToGrid w:val="0"/>
          <w:lang w:val="fr-CA"/>
        </w:rPr>
        <w:t>présent</w:t>
      </w:r>
      <w:r w:rsidR="000B08F2" w:rsidRPr="009D4254">
        <w:rPr>
          <w:snapToGrid w:val="0"/>
          <w:lang w:val="fr-CA"/>
        </w:rPr>
        <w:t xml:space="preserve"> </w:t>
      </w:r>
      <w:r w:rsidR="0006561D" w:rsidRPr="009D4254">
        <w:rPr>
          <w:snapToGrid w:val="0"/>
          <w:u w:val="single"/>
          <w:lang w:val="fr-CA"/>
        </w:rPr>
        <w:t>article </w:t>
      </w:r>
      <w:bookmarkStart w:id="380" w:name="DocXTextRef295"/>
      <w:r w:rsidR="000B08F2" w:rsidRPr="00986BEB">
        <w:rPr>
          <w:snapToGrid w:val="0"/>
          <w:u w:val="single"/>
          <w:lang w:val="fr-CA"/>
        </w:rPr>
        <w:fldChar w:fldCharType="begin"/>
      </w:r>
      <w:r w:rsidR="00F251F0" w:rsidRPr="00986BEB">
        <w:rPr>
          <w:snapToGrid w:val="0"/>
          <w:u w:val="single"/>
          <w:lang w:val="fr-CA"/>
        </w:rPr>
        <w:instrText xml:space="preserve"> REF _Ref448380636 \w \h  \* MERGEFORMAT </w:instrText>
      </w:r>
      <w:r w:rsidR="000B08F2" w:rsidRPr="00986BEB">
        <w:rPr>
          <w:snapToGrid w:val="0"/>
          <w:u w:val="single"/>
          <w:lang w:val="fr-CA"/>
        </w:rPr>
      </w:r>
      <w:r w:rsidR="000B08F2" w:rsidRPr="00986BEB">
        <w:rPr>
          <w:snapToGrid w:val="0"/>
          <w:u w:val="single"/>
          <w:lang w:val="fr-CA"/>
        </w:rPr>
        <w:fldChar w:fldCharType="separate"/>
      </w:r>
      <w:r w:rsidR="00AE1D96">
        <w:rPr>
          <w:snapToGrid w:val="0"/>
          <w:u w:val="single"/>
          <w:lang w:val="fr-CA"/>
        </w:rPr>
        <w:t>5</w:t>
      </w:r>
      <w:r w:rsidR="000B08F2" w:rsidRPr="00986BEB">
        <w:rPr>
          <w:snapToGrid w:val="0"/>
          <w:u w:val="single"/>
          <w:lang w:val="fr-CA"/>
        </w:rPr>
        <w:fldChar w:fldCharType="end"/>
      </w:r>
      <w:bookmarkEnd w:id="380"/>
      <w:r w:rsidR="000B08F2" w:rsidRPr="009D4254">
        <w:rPr>
          <w:snapToGrid w:val="0"/>
          <w:lang w:val="fr-CA"/>
        </w:rPr>
        <w:t xml:space="preserve">, </w:t>
      </w:r>
      <w:r w:rsidRPr="009D4254">
        <w:rPr>
          <w:snapToGrid w:val="0"/>
          <w:lang w:val="fr-CA"/>
        </w:rPr>
        <w:t xml:space="preserve">à l’exception des </w:t>
      </w:r>
      <w:bookmarkStart w:id="381" w:name="DocXTextRef296"/>
      <w:r w:rsidRPr="009D4254">
        <w:rPr>
          <w:snapToGrid w:val="0"/>
          <w:u w:val="single"/>
          <w:lang w:val="fr-CA"/>
        </w:rPr>
        <w:t>paragraphes</w:t>
      </w:r>
      <w:bookmarkEnd w:id="381"/>
      <w:r>
        <w:rPr>
          <w:snapToGrid w:val="0"/>
          <w:u w:val="single"/>
          <w:lang w:val="fr-CA"/>
        </w:rPr>
        <w:t> </w:t>
      </w:r>
      <w:r w:rsidR="000B08F2" w:rsidRPr="00986BEB">
        <w:rPr>
          <w:bCs/>
          <w:snapToGrid w:val="0"/>
          <w:u w:val="single"/>
          <w:lang w:val="fr-CA"/>
        </w:rPr>
        <w:fldChar w:fldCharType="begin"/>
      </w:r>
      <w:r w:rsidR="000B08F2" w:rsidRPr="00986BEB">
        <w:rPr>
          <w:bCs/>
          <w:snapToGrid w:val="0"/>
          <w:u w:val="single"/>
          <w:lang w:val="fr-CA"/>
        </w:rPr>
        <w:instrText xml:space="preserve">  REF _Ref448380653 \w \h \* MERGEFORMAT </w:instrText>
      </w:r>
      <w:r w:rsidR="000B08F2" w:rsidRPr="00986BEB">
        <w:rPr>
          <w:bCs/>
          <w:snapToGrid w:val="0"/>
          <w:u w:val="single"/>
          <w:lang w:val="fr-CA"/>
        </w:rPr>
      </w:r>
      <w:r w:rsidR="000B08F2" w:rsidRPr="00986BEB">
        <w:rPr>
          <w:bCs/>
          <w:snapToGrid w:val="0"/>
          <w:u w:val="single"/>
          <w:lang w:val="fr-CA"/>
        </w:rPr>
        <w:fldChar w:fldCharType="separate"/>
      </w:r>
      <w:r w:rsidR="00AE1D96" w:rsidRPr="00AE1D96">
        <w:rPr>
          <w:bCs/>
          <w:snapToGrid w:val="0"/>
          <w:color w:val="000000"/>
          <w:u w:val="single"/>
          <w:lang w:val="fr-CA"/>
        </w:rPr>
        <w:t>5.7</w:t>
      </w:r>
      <w:r w:rsidR="000B08F2" w:rsidRPr="00986BEB">
        <w:rPr>
          <w:bCs/>
          <w:snapToGrid w:val="0"/>
          <w:u w:val="single"/>
          <w:lang w:val="fr-CA"/>
        </w:rPr>
        <w:fldChar w:fldCharType="end"/>
      </w:r>
      <w:r w:rsidR="00891728" w:rsidRPr="009D4254">
        <w:rPr>
          <w:bCs/>
          <w:snapToGrid w:val="0"/>
          <w:lang w:val="fr-CA"/>
        </w:rPr>
        <w:t xml:space="preserve">, </w:t>
      </w:r>
      <w:r w:rsidR="00891728" w:rsidRPr="00986BEB">
        <w:rPr>
          <w:bCs/>
          <w:snapToGrid w:val="0"/>
          <w:u w:val="single"/>
          <w:lang w:val="fr-CA"/>
        </w:rPr>
        <w:fldChar w:fldCharType="begin"/>
      </w:r>
      <w:r w:rsidR="00F251F0" w:rsidRPr="00986BEB">
        <w:rPr>
          <w:bCs/>
          <w:snapToGrid w:val="0"/>
          <w:u w:val="single"/>
          <w:lang w:val="fr-CA"/>
        </w:rPr>
        <w:instrText xml:space="preserve"> REF _Ref448380654 \r \h  \* MERGEFORMAT </w:instrText>
      </w:r>
      <w:r w:rsidR="00891728" w:rsidRPr="00986BEB">
        <w:rPr>
          <w:bCs/>
          <w:snapToGrid w:val="0"/>
          <w:u w:val="single"/>
          <w:lang w:val="fr-CA"/>
        </w:rPr>
      </w:r>
      <w:r w:rsidR="00891728" w:rsidRPr="00986BEB">
        <w:rPr>
          <w:bCs/>
          <w:snapToGrid w:val="0"/>
          <w:u w:val="single"/>
          <w:lang w:val="fr-CA"/>
        </w:rPr>
        <w:fldChar w:fldCharType="separate"/>
      </w:r>
      <w:r w:rsidR="00AE1D96">
        <w:rPr>
          <w:bCs/>
          <w:snapToGrid w:val="0"/>
          <w:u w:val="single"/>
          <w:lang w:val="fr-CA"/>
        </w:rPr>
        <w:t>5.8</w:t>
      </w:r>
      <w:r w:rsidR="00891728" w:rsidRPr="00986BEB">
        <w:rPr>
          <w:bCs/>
          <w:snapToGrid w:val="0"/>
          <w:u w:val="single"/>
          <w:lang w:val="fr-CA"/>
        </w:rPr>
        <w:fldChar w:fldCharType="end"/>
      </w:r>
      <w:r w:rsidR="000B08F2" w:rsidRPr="009D4254">
        <w:rPr>
          <w:bCs/>
          <w:snapToGrid w:val="0"/>
          <w:lang w:val="fr-CA"/>
        </w:rPr>
        <w:t xml:space="preserve"> [</w:t>
      </w:r>
      <w:r w:rsidRPr="009D4254">
        <w:rPr>
          <w:bCs/>
          <w:snapToGrid w:val="0"/>
          <w:lang w:val="fr-CA"/>
        </w:rPr>
        <w:t xml:space="preserve">et </w:t>
      </w:r>
      <w:r w:rsidR="00891728" w:rsidRPr="00986BEB">
        <w:rPr>
          <w:bCs/>
          <w:snapToGrid w:val="0"/>
          <w:u w:val="single"/>
          <w:lang w:val="fr-CA"/>
        </w:rPr>
        <w:fldChar w:fldCharType="begin"/>
      </w:r>
      <w:r w:rsidR="00F251F0" w:rsidRPr="00986BEB">
        <w:rPr>
          <w:bCs/>
          <w:snapToGrid w:val="0"/>
          <w:u w:val="single"/>
          <w:lang w:val="fr-CA"/>
        </w:rPr>
        <w:instrText xml:space="preserve"> REF _Ref448380655 \r \h  \* MERGEFORMAT </w:instrText>
      </w:r>
      <w:r w:rsidR="00891728" w:rsidRPr="00986BEB">
        <w:rPr>
          <w:bCs/>
          <w:snapToGrid w:val="0"/>
          <w:u w:val="single"/>
          <w:lang w:val="fr-CA"/>
        </w:rPr>
      </w:r>
      <w:r w:rsidR="00891728" w:rsidRPr="00986BEB">
        <w:rPr>
          <w:bCs/>
          <w:snapToGrid w:val="0"/>
          <w:u w:val="single"/>
          <w:lang w:val="fr-CA"/>
        </w:rPr>
        <w:fldChar w:fldCharType="separate"/>
      </w:r>
      <w:r w:rsidR="00AE1D96">
        <w:rPr>
          <w:bCs/>
          <w:snapToGrid w:val="0"/>
          <w:u w:val="single"/>
          <w:lang w:val="fr-CA"/>
        </w:rPr>
        <w:t>5.9</w:t>
      </w:r>
      <w:r w:rsidR="00891728" w:rsidRPr="00986BEB">
        <w:rPr>
          <w:bCs/>
          <w:snapToGrid w:val="0"/>
          <w:u w:val="single"/>
          <w:lang w:val="fr-CA"/>
        </w:rPr>
        <w:fldChar w:fldCharType="end"/>
      </w:r>
      <w:r w:rsidR="000B08F2" w:rsidRPr="009D4254">
        <w:rPr>
          <w:snapToGrid w:val="0"/>
          <w:lang w:val="fr-CA"/>
        </w:rPr>
        <w:t xml:space="preserve">], </w:t>
      </w:r>
      <w:r w:rsidRPr="009D4254">
        <w:rPr>
          <w:snapToGrid w:val="0"/>
          <w:lang w:val="fr-CA"/>
        </w:rPr>
        <w:t xml:space="preserve">prennent fin et </w:t>
      </w:r>
      <w:r w:rsidRPr="0059083D">
        <w:rPr>
          <w:snapToGrid w:val="0"/>
          <w:lang w:val="fr-CA"/>
        </w:rPr>
        <w:t xml:space="preserve">deviennent nuls et sans effet </w:t>
      </w:r>
      <w:r w:rsidR="000B08F2" w:rsidRPr="009D4254">
        <w:rPr>
          <w:snapToGrid w:val="0"/>
          <w:lang w:val="fr-CA"/>
        </w:rPr>
        <w:t>[(i)]</w:t>
      </w:r>
      <w:r w:rsidRPr="009D4254">
        <w:rPr>
          <w:snapToGrid w:val="0"/>
          <w:lang w:val="fr-CA"/>
        </w:rPr>
        <w:t> immédiatement avant la réalisation du PAPE</w:t>
      </w:r>
      <w:r w:rsidR="000B08F2" w:rsidRPr="009D4254">
        <w:rPr>
          <w:snapToGrid w:val="0"/>
          <w:lang w:val="fr-CA"/>
        </w:rPr>
        <w:t>[, o</w:t>
      </w:r>
      <w:r w:rsidRPr="009D4254">
        <w:rPr>
          <w:snapToGrid w:val="0"/>
          <w:lang w:val="fr-CA"/>
        </w:rPr>
        <w:t>u</w:t>
      </w:r>
      <w:r w:rsidR="000B08F2" w:rsidRPr="009D4254">
        <w:rPr>
          <w:snapToGrid w:val="0"/>
          <w:lang w:val="fr-CA"/>
        </w:rPr>
        <w:t xml:space="preserve"> (</w:t>
      </w:r>
      <w:r w:rsidR="000B08F2" w:rsidRPr="00986BEB">
        <w:rPr>
          <w:snapToGrid w:val="0"/>
          <w:lang w:val="fr-CA"/>
        </w:rPr>
        <w:t>ii</w:t>
      </w:r>
      <w:r w:rsidR="000B08F2" w:rsidRPr="009D4254">
        <w:rPr>
          <w:snapToGrid w:val="0"/>
          <w:lang w:val="fr-CA"/>
        </w:rPr>
        <w:t>)</w:t>
      </w:r>
      <w:r w:rsidRPr="009D4254">
        <w:rPr>
          <w:snapToGrid w:val="0"/>
          <w:lang w:val="fr-CA"/>
        </w:rPr>
        <w:t> à la survenance d’un</w:t>
      </w:r>
      <w:r w:rsidR="00645C4F">
        <w:rPr>
          <w:snapToGrid w:val="0"/>
          <w:lang w:val="fr-CA"/>
        </w:rPr>
        <w:t xml:space="preserve"> Cas de l</w:t>
      </w:r>
      <w:r w:rsidRPr="009D4254">
        <w:rPr>
          <w:snapToGrid w:val="0"/>
          <w:lang w:val="fr-CA"/>
        </w:rPr>
        <w:t>iquidation réputé</w:t>
      </w:r>
      <w:r w:rsidR="000B08F2" w:rsidRPr="009D4254">
        <w:rPr>
          <w:snapToGrid w:val="0"/>
          <w:lang w:val="fr-CA"/>
        </w:rPr>
        <w:t xml:space="preserve">[, </w:t>
      </w:r>
      <w:r w:rsidRPr="0059083D">
        <w:rPr>
          <w:snapToGrid w:val="0"/>
          <w:lang w:val="fr-CA"/>
        </w:rPr>
        <w:t xml:space="preserve">au sens </w:t>
      </w:r>
      <w:r w:rsidR="001E78D0">
        <w:rPr>
          <w:snapToGrid w:val="0"/>
          <w:lang w:val="fr-CA"/>
        </w:rPr>
        <w:t xml:space="preserve">donné à </w:t>
      </w:r>
      <w:r w:rsidR="001E78D0">
        <w:rPr>
          <w:i/>
          <w:iCs/>
          <w:snapToGrid w:val="0"/>
          <w:lang w:val="fr-CA"/>
        </w:rPr>
        <w:t xml:space="preserve">Deemed Liquidation Event </w:t>
      </w:r>
      <w:r w:rsidR="001E78D0">
        <w:rPr>
          <w:snapToGrid w:val="0"/>
          <w:lang w:val="fr-CA"/>
        </w:rPr>
        <w:t>dans les</w:t>
      </w:r>
      <w:r w:rsidRPr="0059083D">
        <w:rPr>
          <w:snapToGrid w:val="0"/>
          <w:lang w:val="fr-CA"/>
        </w:rPr>
        <w:t xml:space="preserve"> Statuts de la Société</w:t>
      </w:r>
      <w:r w:rsidR="000B08F2" w:rsidRPr="009D4254">
        <w:rPr>
          <w:snapToGrid w:val="0"/>
          <w:lang w:val="fr-CA"/>
        </w:rPr>
        <w:t xml:space="preserve">], </w:t>
      </w:r>
      <w:r w:rsidRPr="009D4254">
        <w:rPr>
          <w:snapToGrid w:val="0"/>
          <w:lang w:val="fr-CA"/>
        </w:rPr>
        <w:t>selon la première éventualité à survenir</w:t>
      </w:r>
      <w:bookmarkStart w:id="382" w:name="_Ref448380730"/>
      <w:r w:rsidR="000B08F2" w:rsidRPr="00986BEB">
        <w:rPr>
          <w:rStyle w:val="FootnoteReference"/>
          <w:snapToGrid w:val="0"/>
          <w:lang w:val="fr-CA"/>
        </w:rPr>
        <w:footnoteReference w:id="66"/>
      </w:r>
      <w:bookmarkEnd w:id="382"/>
      <w:r>
        <w:rPr>
          <w:snapToGrid w:val="0"/>
          <w:lang w:val="fr-CA"/>
        </w:rPr>
        <w:t>.</w:t>
      </w:r>
      <w:r w:rsidR="00A258D1">
        <w:rPr>
          <w:snapToGrid w:val="0"/>
          <w:lang w:val="fr-CA"/>
        </w:rPr>
        <w:t>]</w:t>
      </w:r>
    </w:p>
    <w:p w14:paraId="79A2AB18" w14:textId="7501983F" w:rsidR="00037C7E" w:rsidRPr="00986BEB" w:rsidRDefault="00365602" w:rsidP="00E052B8">
      <w:pPr>
        <w:pStyle w:val="StandardL1"/>
        <w:keepNext/>
        <w:rPr>
          <w:lang w:val="fr-CA"/>
        </w:rPr>
      </w:pPr>
      <w:bookmarkStart w:id="383" w:name="_Ref448380658"/>
      <w:bookmarkStart w:id="384" w:name="_Toc132874758"/>
      <w:r w:rsidRPr="009D4254">
        <w:rPr>
          <w:lang w:val="fr-CA"/>
        </w:rPr>
        <w:t>Dispositions diverses</w:t>
      </w:r>
      <w:r w:rsidR="000B08F2" w:rsidRPr="009D4254">
        <w:rPr>
          <w:snapToGrid w:val="0"/>
          <w:lang w:val="fr-CA"/>
        </w:rPr>
        <w:t>.</w:t>
      </w:r>
      <w:bookmarkEnd w:id="383"/>
      <w:bookmarkEnd w:id="384"/>
    </w:p>
    <w:p w14:paraId="708AABDB" w14:textId="63BE9AC5" w:rsidR="00037C7E" w:rsidRPr="00986BEB" w:rsidRDefault="00B74D98">
      <w:pPr>
        <w:pStyle w:val="StandardL2"/>
        <w:rPr>
          <w:lang w:val="fr-CA"/>
        </w:rPr>
      </w:pPr>
      <w:bookmarkStart w:id="385" w:name="_Ref448380659"/>
      <w:bookmarkStart w:id="386" w:name="_Toc132874759"/>
      <w:r w:rsidRPr="00B74D98">
        <w:rPr>
          <w:lang w:val="fr-CA"/>
        </w:rPr>
        <w:t>Successeurs et ayants droit ou ayants cause</w:t>
      </w:r>
      <w:r w:rsidR="000B08F2" w:rsidRPr="00B74D98">
        <w:rPr>
          <w:snapToGrid w:val="0"/>
          <w:lang w:val="fr-CA"/>
        </w:rPr>
        <w:t>.</w:t>
      </w:r>
      <w:bookmarkEnd w:id="385"/>
      <w:bookmarkEnd w:id="386"/>
    </w:p>
    <w:p w14:paraId="5941E551" w14:textId="7E1189FF" w:rsidR="00A758B4" w:rsidRPr="00BE40AC" w:rsidRDefault="00365602">
      <w:pPr>
        <w:pStyle w:val="StandardCont2"/>
        <w:rPr>
          <w:snapToGrid w:val="0"/>
          <w:lang w:val="fr-CA"/>
        </w:rPr>
      </w:pPr>
      <w:r>
        <w:rPr>
          <w:snapToGrid w:val="0"/>
          <w:lang w:val="fr-CA"/>
        </w:rPr>
        <w:t xml:space="preserve">Un Porteur peut céder les droits prévus par </w:t>
      </w:r>
      <w:r w:rsidR="000B08F2" w:rsidRPr="0059083D">
        <w:rPr>
          <w:snapToGrid w:val="0"/>
          <w:lang w:val="fr-CA"/>
        </w:rPr>
        <w:t>la présente Convention (</w:t>
      </w:r>
      <w:r>
        <w:rPr>
          <w:snapToGrid w:val="0"/>
          <w:lang w:val="fr-CA"/>
        </w:rPr>
        <w:t>mais uniquement avec toutes les obligations connexes</w:t>
      </w:r>
      <w:r w:rsidR="000B08F2" w:rsidRPr="0059083D">
        <w:rPr>
          <w:snapToGrid w:val="0"/>
          <w:lang w:val="fr-CA"/>
        </w:rPr>
        <w:t xml:space="preserve">) </w:t>
      </w:r>
      <w:r>
        <w:rPr>
          <w:snapToGrid w:val="0"/>
          <w:lang w:val="fr-CA"/>
        </w:rPr>
        <w:t xml:space="preserve">à un cessionnaire de </w:t>
      </w:r>
      <w:r w:rsidR="0006561D" w:rsidRPr="0059083D">
        <w:rPr>
          <w:snapToGrid w:val="0"/>
          <w:lang w:val="fr-CA"/>
        </w:rPr>
        <w:t>Titres à inscrire</w:t>
      </w:r>
      <w:r w:rsidR="000B08F2" w:rsidRPr="0059083D">
        <w:rPr>
          <w:snapToGrid w:val="0"/>
          <w:lang w:val="fr-CA"/>
        </w:rPr>
        <w:t xml:space="preserve"> </w:t>
      </w:r>
      <w:r>
        <w:rPr>
          <w:snapToGrid w:val="0"/>
          <w:lang w:val="fr-CA"/>
        </w:rPr>
        <w:t>qui</w:t>
      </w:r>
      <w:bookmarkStart w:id="387" w:name="DocXTextRef304"/>
      <w:r>
        <w:rPr>
          <w:snapToGrid w:val="0"/>
          <w:lang w:val="fr-CA"/>
        </w:rPr>
        <w:t xml:space="preserve"> </w:t>
      </w:r>
      <w:r w:rsidR="000B08F2" w:rsidRPr="0059083D">
        <w:rPr>
          <w:snapToGrid w:val="0"/>
          <w:lang w:val="fr-CA"/>
        </w:rPr>
        <w:t>(</w:t>
      </w:r>
      <w:r w:rsidR="000B08F2" w:rsidRPr="00986BEB">
        <w:rPr>
          <w:snapToGrid w:val="0"/>
          <w:lang w:val="fr-CA"/>
        </w:rPr>
        <w:t>i</w:t>
      </w:r>
      <w:r w:rsidR="000B08F2" w:rsidRPr="0059083D">
        <w:rPr>
          <w:snapToGrid w:val="0"/>
          <w:lang w:val="fr-CA"/>
        </w:rPr>
        <w:t>)</w:t>
      </w:r>
      <w:bookmarkEnd w:id="387"/>
      <w:r>
        <w:rPr>
          <w:snapToGrid w:val="0"/>
          <w:lang w:val="fr-CA"/>
        </w:rPr>
        <w:t xml:space="preserve"> est un </w:t>
      </w:r>
      <w:r w:rsidR="000B08F2" w:rsidRPr="0059083D">
        <w:rPr>
          <w:snapToGrid w:val="0"/>
          <w:lang w:val="fr-CA"/>
        </w:rPr>
        <w:t xml:space="preserve">Membre du même groupe </w:t>
      </w:r>
      <w:r>
        <w:rPr>
          <w:snapToGrid w:val="0"/>
          <w:lang w:val="fr-CA"/>
        </w:rPr>
        <w:t xml:space="preserve">qu’un </w:t>
      </w:r>
      <w:r w:rsidR="0006561D" w:rsidRPr="0059083D">
        <w:rPr>
          <w:snapToGrid w:val="0"/>
          <w:lang w:val="fr-CA"/>
        </w:rPr>
        <w:t>Porteur</w:t>
      </w:r>
      <w:r w:rsidR="000B08F2" w:rsidRPr="0059083D">
        <w:rPr>
          <w:snapToGrid w:val="0"/>
          <w:lang w:val="fr-CA"/>
        </w:rPr>
        <w:t xml:space="preserve">; </w:t>
      </w:r>
      <w:bookmarkStart w:id="388" w:name="DocXTextRef305"/>
      <w:r w:rsidR="000B08F2" w:rsidRPr="0059083D">
        <w:rPr>
          <w:snapToGrid w:val="0"/>
          <w:lang w:val="fr-CA"/>
        </w:rPr>
        <w:t>(</w:t>
      </w:r>
      <w:r w:rsidR="000B08F2" w:rsidRPr="00986BEB">
        <w:rPr>
          <w:snapToGrid w:val="0"/>
          <w:lang w:val="fr-CA"/>
        </w:rPr>
        <w:t>ii</w:t>
      </w:r>
      <w:r w:rsidR="000B08F2" w:rsidRPr="0059083D">
        <w:rPr>
          <w:snapToGrid w:val="0"/>
          <w:lang w:val="fr-CA"/>
        </w:rPr>
        <w:t>)</w:t>
      </w:r>
      <w:bookmarkEnd w:id="388"/>
      <w:r>
        <w:rPr>
          <w:snapToGrid w:val="0"/>
          <w:lang w:val="fr-CA"/>
        </w:rPr>
        <w:t xml:space="preserve"> est un </w:t>
      </w:r>
      <w:r w:rsidR="00F52467" w:rsidRPr="0059083D">
        <w:rPr>
          <w:snapToGrid w:val="0"/>
          <w:lang w:val="fr-CA"/>
        </w:rPr>
        <w:t>Membre de la famille immédiate</w:t>
      </w:r>
      <w:r w:rsidR="000B08F2" w:rsidRPr="0059083D">
        <w:rPr>
          <w:snapToGrid w:val="0"/>
          <w:lang w:val="fr-CA"/>
        </w:rPr>
        <w:t xml:space="preserve"> </w:t>
      </w:r>
      <w:r>
        <w:rPr>
          <w:snapToGrid w:val="0"/>
          <w:lang w:val="fr-CA"/>
        </w:rPr>
        <w:t>d’un Porteur ou une fiducie au profit d’un Porteur qui est un particulier ou d’un</w:t>
      </w:r>
      <w:r w:rsidR="001E78D0">
        <w:rPr>
          <w:snapToGrid w:val="0"/>
          <w:lang w:val="fr-CA"/>
        </w:rPr>
        <w:t> </w:t>
      </w:r>
      <w:r w:rsidR="000B08F2" w:rsidRPr="0059083D">
        <w:rPr>
          <w:snapToGrid w:val="0"/>
          <w:lang w:val="fr-CA"/>
        </w:rPr>
        <w:t>(</w:t>
      </w:r>
      <w:r w:rsidR="000B08F2" w:rsidRPr="00986BEB">
        <w:rPr>
          <w:snapToGrid w:val="0"/>
          <w:lang w:val="fr-CA"/>
        </w:rPr>
        <w:t>1</w:t>
      </w:r>
      <w:r w:rsidR="000B08F2" w:rsidRPr="0059083D">
        <w:rPr>
          <w:snapToGrid w:val="0"/>
          <w:lang w:val="fr-CA"/>
        </w:rPr>
        <w:t xml:space="preserve">) </w:t>
      </w:r>
      <w:r>
        <w:rPr>
          <w:snapToGrid w:val="0"/>
          <w:lang w:val="fr-CA"/>
        </w:rPr>
        <w:t xml:space="preserve">ou de plusieurs </w:t>
      </w:r>
      <w:r w:rsidR="00F52467" w:rsidRPr="0059083D">
        <w:rPr>
          <w:snapToGrid w:val="0"/>
          <w:lang w:val="fr-CA"/>
        </w:rPr>
        <w:t>Membres de la famille immédiate</w:t>
      </w:r>
      <w:r>
        <w:rPr>
          <w:snapToGrid w:val="0"/>
          <w:lang w:val="fr-CA"/>
        </w:rPr>
        <w:t xml:space="preserve"> d’un tel Porteur</w:t>
      </w:r>
      <w:r w:rsidR="000B08F2" w:rsidRPr="0059083D">
        <w:rPr>
          <w:snapToGrid w:val="0"/>
          <w:lang w:val="fr-CA"/>
        </w:rPr>
        <w:t xml:space="preserve">; </w:t>
      </w:r>
      <w:r>
        <w:rPr>
          <w:snapToGrid w:val="0"/>
          <w:lang w:val="fr-CA"/>
        </w:rPr>
        <w:t>ou</w:t>
      </w:r>
      <w:r w:rsidR="000B08F2" w:rsidRPr="0059083D">
        <w:rPr>
          <w:snapToGrid w:val="0"/>
          <w:lang w:val="fr-CA"/>
        </w:rPr>
        <w:t xml:space="preserve"> </w:t>
      </w:r>
      <w:bookmarkStart w:id="389" w:name="DocXTextRef306"/>
      <w:r w:rsidR="000B08F2" w:rsidRPr="0059083D">
        <w:rPr>
          <w:snapToGrid w:val="0"/>
          <w:lang w:val="fr-CA"/>
        </w:rPr>
        <w:t>(</w:t>
      </w:r>
      <w:r w:rsidR="000B08F2" w:rsidRPr="00986BEB">
        <w:rPr>
          <w:snapToGrid w:val="0"/>
          <w:lang w:val="fr-CA"/>
        </w:rPr>
        <w:t>iii</w:t>
      </w:r>
      <w:r w:rsidR="000B08F2" w:rsidRPr="0059083D">
        <w:rPr>
          <w:snapToGrid w:val="0"/>
          <w:lang w:val="fr-CA"/>
        </w:rPr>
        <w:t>)</w:t>
      </w:r>
      <w:bookmarkEnd w:id="389"/>
      <w:r>
        <w:rPr>
          <w:snapToGrid w:val="0"/>
          <w:lang w:val="fr-CA"/>
        </w:rPr>
        <w:t> après cette cession</w:t>
      </w:r>
      <w:r w:rsidR="000B08F2" w:rsidRPr="0059083D">
        <w:rPr>
          <w:snapToGrid w:val="0"/>
          <w:lang w:val="fr-CA"/>
        </w:rPr>
        <w:t>, [</w:t>
      </w:r>
      <w:r>
        <w:rPr>
          <w:snapToGrid w:val="0"/>
          <w:lang w:val="fr-CA"/>
        </w:rPr>
        <w:t>détien</w:t>
      </w:r>
      <w:r w:rsidR="008453D9">
        <w:rPr>
          <w:snapToGrid w:val="0"/>
          <w:lang w:val="fr-CA"/>
        </w:rPr>
        <w:t>drait</w:t>
      </w:r>
      <w:r>
        <w:rPr>
          <w:snapToGrid w:val="0"/>
          <w:lang w:val="fr-CA"/>
        </w:rPr>
        <w:t xml:space="preserve"> au moins</w:t>
      </w:r>
      <w:r w:rsidR="000B08F2" w:rsidRPr="0059083D">
        <w:rPr>
          <w:snapToGrid w:val="0"/>
          <w:lang w:val="fr-CA"/>
        </w:rPr>
        <w:t xml:space="preserve"> [_____]</w:t>
      </w:r>
      <w:r>
        <w:rPr>
          <w:snapToGrid w:val="0"/>
          <w:lang w:val="fr-CA"/>
        </w:rPr>
        <w:t> </w:t>
      </w:r>
      <w:r w:rsidR="0006561D" w:rsidRPr="0059083D">
        <w:rPr>
          <w:snapToGrid w:val="0"/>
          <w:lang w:val="fr-CA"/>
        </w:rPr>
        <w:t>Titres à inscrire</w:t>
      </w:r>
      <w:r w:rsidR="000B08F2" w:rsidRPr="0059083D">
        <w:rPr>
          <w:snapToGrid w:val="0"/>
          <w:lang w:val="fr-CA"/>
        </w:rPr>
        <w:t xml:space="preserve"> (</w:t>
      </w:r>
      <w:r>
        <w:rPr>
          <w:snapToGrid w:val="0"/>
          <w:lang w:val="fr-CA"/>
        </w:rPr>
        <w:t>sous réserve d</w:t>
      </w:r>
      <w:r w:rsidR="001E78D0">
        <w:rPr>
          <w:snapToGrid w:val="0"/>
          <w:lang w:val="fr-CA"/>
        </w:rPr>
        <w:t>’un</w:t>
      </w:r>
      <w:r>
        <w:rPr>
          <w:snapToGrid w:val="0"/>
          <w:lang w:val="fr-CA"/>
        </w:rPr>
        <w:t xml:space="preserve"> rajustement au besoin </w:t>
      </w:r>
      <w:r w:rsidRPr="0059083D">
        <w:rPr>
          <w:lang w:val="fr-CA"/>
        </w:rPr>
        <w:t xml:space="preserve">pour tenir compte </w:t>
      </w:r>
      <w:r>
        <w:rPr>
          <w:lang w:val="fr-CA"/>
        </w:rPr>
        <w:t xml:space="preserve">des </w:t>
      </w:r>
      <w:r w:rsidRPr="0059083D">
        <w:rPr>
          <w:lang w:val="fr-CA"/>
        </w:rPr>
        <w:t>fractionnement</w:t>
      </w:r>
      <w:r>
        <w:rPr>
          <w:lang w:val="fr-CA"/>
        </w:rPr>
        <w:t>s</w:t>
      </w:r>
      <w:r w:rsidRPr="0059083D">
        <w:rPr>
          <w:lang w:val="fr-CA"/>
        </w:rPr>
        <w:t xml:space="preserve"> d’actions, </w:t>
      </w:r>
      <w:r>
        <w:rPr>
          <w:lang w:val="fr-CA"/>
        </w:rPr>
        <w:t xml:space="preserve">des </w:t>
      </w:r>
      <w:r w:rsidRPr="0059083D">
        <w:rPr>
          <w:lang w:val="fr-CA"/>
        </w:rPr>
        <w:t>dividende</w:t>
      </w:r>
      <w:r>
        <w:rPr>
          <w:lang w:val="fr-CA"/>
        </w:rPr>
        <w:t>s</w:t>
      </w:r>
      <w:r w:rsidRPr="0059083D">
        <w:rPr>
          <w:lang w:val="fr-CA"/>
        </w:rPr>
        <w:t xml:space="preserve"> en actions</w:t>
      </w:r>
      <w:r>
        <w:rPr>
          <w:lang w:val="fr-CA"/>
        </w:rPr>
        <w:t xml:space="preserve">, des </w:t>
      </w:r>
      <w:r w:rsidRPr="0059083D">
        <w:rPr>
          <w:lang w:val="fr-CA"/>
        </w:rPr>
        <w:t>regroupement</w:t>
      </w:r>
      <w:r>
        <w:rPr>
          <w:lang w:val="fr-CA"/>
        </w:rPr>
        <w:t xml:space="preserve">s ou d’autres </w:t>
      </w:r>
      <w:r w:rsidRPr="0059083D">
        <w:rPr>
          <w:lang w:val="fr-CA"/>
        </w:rPr>
        <w:t>restructuration</w:t>
      </w:r>
      <w:r>
        <w:rPr>
          <w:lang w:val="fr-CA"/>
        </w:rPr>
        <w:t>s</w:t>
      </w:r>
      <w:r w:rsidRPr="0059083D">
        <w:rPr>
          <w:lang w:val="fr-CA"/>
        </w:rPr>
        <w:t xml:space="preserve"> du capital</w:t>
      </w:r>
      <w:r w:rsidR="000B08F2" w:rsidRPr="0059083D">
        <w:rPr>
          <w:snapToGrid w:val="0"/>
          <w:lang w:val="fr-CA"/>
        </w:rPr>
        <w:t>)] [</w:t>
      </w:r>
      <w:r>
        <w:rPr>
          <w:snapToGrid w:val="0"/>
          <w:lang w:val="fr-CA"/>
        </w:rPr>
        <w:t xml:space="preserve">collectivement avec les </w:t>
      </w:r>
      <w:r w:rsidR="000B08F2" w:rsidRPr="0059083D">
        <w:rPr>
          <w:snapToGrid w:val="0"/>
          <w:lang w:val="fr-CA"/>
        </w:rPr>
        <w:t>Membres du même groupe</w:t>
      </w:r>
      <w:r>
        <w:rPr>
          <w:snapToGrid w:val="0"/>
          <w:lang w:val="fr-CA"/>
        </w:rPr>
        <w:t xml:space="preserve"> que lui</w:t>
      </w:r>
      <w:r w:rsidR="000B08F2" w:rsidRPr="0059083D">
        <w:rPr>
          <w:snapToGrid w:val="0"/>
          <w:lang w:val="fr-CA"/>
        </w:rPr>
        <w:t xml:space="preserve">, </w:t>
      </w:r>
      <w:r>
        <w:rPr>
          <w:snapToGrid w:val="0"/>
          <w:lang w:val="fr-CA"/>
        </w:rPr>
        <w:t xml:space="preserve">serait un </w:t>
      </w:r>
      <w:r w:rsidR="006C7CDF" w:rsidRPr="0059083D">
        <w:rPr>
          <w:snapToGrid w:val="0"/>
          <w:lang w:val="fr-CA"/>
        </w:rPr>
        <w:t>Investisseur important</w:t>
      </w:r>
      <w:r w:rsidR="000B08F2" w:rsidRPr="0059083D">
        <w:rPr>
          <w:snapToGrid w:val="0"/>
          <w:lang w:val="fr-CA"/>
        </w:rPr>
        <w:t>]</w:t>
      </w:r>
      <w:r>
        <w:rPr>
          <w:snapToGrid w:val="0"/>
          <w:lang w:val="fr-CA"/>
        </w:rPr>
        <w:t>, à condition, toutefois</w:t>
      </w:r>
      <w:r w:rsidR="000B08F2" w:rsidRPr="0059083D">
        <w:rPr>
          <w:snapToGrid w:val="0"/>
          <w:lang w:val="fr-CA"/>
        </w:rPr>
        <w:t xml:space="preserve">, </w:t>
      </w:r>
      <w:bookmarkStart w:id="390" w:name="DocXTextRef307"/>
      <w:r w:rsidR="008453D9">
        <w:rPr>
          <w:snapToGrid w:val="0"/>
          <w:lang w:val="fr-CA"/>
        </w:rPr>
        <w:t xml:space="preserve">que </w:t>
      </w:r>
      <w:r w:rsidR="000B08F2" w:rsidRPr="0059083D">
        <w:rPr>
          <w:snapToGrid w:val="0"/>
          <w:lang w:val="fr-CA"/>
        </w:rPr>
        <w:t>(</w:t>
      </w:r>
      <w:r w:rsidR="000B08F2" w:rsidRPr="00986BEB">
        <w:rPr>
          <w:snapToGrid w:val="0"/>
          <w:lang w:val="fr-CA"/>
        </w:rPr>
        <w:t>x</w:t>
      </w:r>
      <w:r w:rsidR="000B08F2" w:rsidRPr="0059083D">
        <w:rPr>
          <w:snapToGrid w:val="0"/>
          <w:lang w:val="fr-CA"/>
        </w:rPr>
        <w:t>)</w:t>
      </w:r>
      <w:bookmarkEnd w:id="390"/>
      <w:r>
        <w:rPr>
          <w:snapToGrid w:val="0"/>
          <w:lang w:val="fr-CA"/>
        </w:rPr>
        <w:t> </w:t>
      </w:r>
      <w:r w:rsidR="000B08F2" w:rsidRPr="0059083D">
        <w:rPr>
          <w:snapToGrid w:val="0"/>
          <w:lang w:val="fr-CA"/>
        </w:rPr>
        <w:t xml:space="preserve">la Société </w:t>
      </w:r>
      <w:r>
        <w:rPr>
          <w:snapToGrid w:val="0"/>
          <w:lang w:val="fr-CA"/>
        </w:rPr>
        <w:t>reçoive, dans un délai raisonnable après ce</w:t>
      </w:r>
      <w:r w:rsidR="00CC759E">
        <w:rPr>
          <w:snapToGrid w:val="0"/>
          <w:lang w:val="fr-CA"/>
        </w:rPr>
        <w:t>tte cession</w:t>
      </w:r>
      <w:r w:rsidR="000B08F2" w:rsidRPr="0059083D">
        <w:rPr>
          <w:snapToGrid w:val="0"/>
          <w:lang w:val="fr-CA"/>
        </w:rPr>
        <w:t xml:space="preserve">, </w:t>
      </w:r>
      <w:r>
        <w:rPr>
          <w:snapToGrid w:val="0"/>
          <w:lang w:val="fr-CA"/>
        </w:rPr>
        <w:t>un avis écrit du nom et de l’adresse du cessionnaire et d</w:t>
      </w:r>
      <w:r w:rsidR="000B08F2" w:rsidRPr="0059083D">
        <w:rPr>
          <w:snapToGrid w:val="0"/>
          <w:lang w:val="fr-CA"/>
        </w:rPr>
        <w:t xml:space="preserve">es </w:t>
      </w:r>
      <w:r w:rsidR="0006561D" w:rsidRPr="0059083D">
        <w:rPr>
          <w:snapToGrid w:val="0"/>
          <w:lang w:val="fr-CA"/>
        </w:rPr>
        <w:t>Titres à inscrire</w:t>
      </w:r>
      <w:r w:rsidR="000B08F2" w:rsidRPr="0059083D">
        <w:rPr>
          <w:snapToGrid w:val="0"/>
          <w:lang w:val="fr-CA"/>
        </w:rPr>
        <w:t xml:space="preserve"> </w:t>
      </w:r>
      <w:r>
        <w:rPr>
          <w:snapToGrid w:val="0"/>
          <w:lang w:val="fr-CA"/>
        </w:rPr>
        <w:t xml:space="preserve">à l’égard desquels </w:t>
      </w:r>
      <w:r w:rsidR="008453D9">
        <w:rPr>
          <w:snapToGrid w:val="0"/>
          <w:lang w:val="fr-CA"/>
        </w:rPr>
        <w:t>l</w:t>
      </w:r>
      <w:r>
        <w:rPr>
          <w:snapToGrid w:val="0"/>
          <w:lang w:val="fr-CA"/>
        </w:rPr>
        <w:t>es droits sont cédés</w:t>
      </w:r>
      <w:r w:rsidR="000B08F2" w:rsidRPr="0059083D">
        <w:rPr>
          <w:snapToGrid w:val="0"/>
          <w:lang w:val="fr-CA"/>
        </w:rPr>
        <w:t xml:space="preserve">; </w:t>
      </w:r>
      <w:r>
        <w:rPr>
          <w:snapToGrid w:val="0"/>
          <w:lang w:val="fr-CA"/>
        </w:rPr>
        <w:t xml:space="preserve">et </w:t>
      </w:r>
      <w:bookmarkStart w:id="391" w:name="DocXTextRef308"/>
      <w:r w:rsidR="000B08F2" w:rsidRPr="0059083D">
        <w:rPr>
          <w:snapToGrid w:val="0"/>
          <w:lang w:val="fr-CA"/>
        </w:rPr>
        <w:t>(</w:t>
      </w:r>
      <w:r w:rsidR="000B08F2" w:rsidRPr="00986BEB">
        <w:rPr>
          <w:snapToGrid w:val="0"/>
          <w:lang w:val="fr-CA"/>
        </w:rPr>
        <w:t>y</w:t>
      </w:r>
      <w:r w:rsidR="000B08F2" w:rsidRPr="0059083D">
        <w:rPr>
          <w:snapToGrid w:val="0"/>
          <w:lang w:val="fr-CA"/>
        </w:rPr>
        <w:t>)</w:t>
      </w:r>
      <w:bookmarkEnd w:id="391"/>
      <w:r>
        <w:rPr>
          <w:snapToGrid w:val="0"/>
          <w:lang w:val="fr-CA"/>
        </w:rPr>
        <w:t xml:space="preserve"> le cessionnaire accepte, </w:t>
      </w:r>
      <w:r w:rsidR="00B74D98">
        <w:rPr>
          <w:snapToGrid w:val="0"/>
          <w:lang w:val="fr-CA"/>
        </w:rPr>
        <w:t>au moyen d’</w:t>
      </w:r>
      <w:r>
        <w:rPr>
          <w:snapToGrid w:val="0"/>
          <w:lang w:val="fr-CA"/>
        </w:rPr>
        <w:t xml:space="preserve">un instrument écrit remis à </w:t>
      </w:r>
      <w:r w:rsidR="000B08F2" w:rsidRPr="0059083D">
        <w:rPr>
          <w:snapToGrid w:val="0"/>
          <w:lang w:val="fr-CA"/>
        </w:rPr>
        <w:t>la Société</w:t>
      </w:r>
      <w:r>
        <w:rPr>
          <w:snapToGrid w:val="0"/>
          <w:lang w:val="fr-CA"/>
        </w:rPr>
        <w:t xml:space="preserve">, d’être lié par les modalités et </w:t>
      </w:r>
      <w:r w:rsidR="000B08F2" w:rsidRPr="0059083D">
        <w:rPr>
          <w:snapToGrid w:val="0"/>
          <w:lang w:val="fr-CA"/>
        </w:rPr>
        <w:t xml:space="preserve">conditions de la présente Convention, </w:t>
      </w:r>
      <w:r>
        <w:rPr>
          <w:snapToGrid w:val="0"/>
          <w:lang w:val="fr-CA"/>
        </w:rPr>
        <w:t xml:space="preserve">y compris les dispositions du </w:t>
      </w:r>
      <w:r w:rsidR="002A0F83" w:rsidRPr="0059083D">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_Ref448380587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2.11</w:t>
      </w:r>
      <w:r w:rsidR="000B08F2" w:rsidRPr="00986BEB">
        <w:rPr>
          <w:snapToGrid w:val="0"/>
          <w:u w:val="single"/>
          <w:lang w:val="fr-CA"/>
        </w:rPr>
        <w:fldChar w:fldCharType="end"/>
      </w:r>
      <w:r w:rsidR="000B08F2" w:rsidRPr="0059083D">
        <w:rPr>
          <w:snapToGrid w:val="0"/>
          <w:lang w:val="fr-CA"/>
        </w:rPr>
        <w:t xml:space="preserve">. </w:t>
      </w:r>
      <w:r>
        <w:rPr>
          <w:snapToGrid w:val="0"/>
          <w:lang w:val="fr-CA"/>
        </w:rPr>
        <w:t xml:space="preserve">Aux fins du calcul du nombre de </w:t>
      </w:r>
      <w:r w:rsidR="0006561D" w:rsidRPr="0059083D">
        <w:rPr>
          <w:snapToGrid w:val="0"/>
          <w:lang w:val="fr-CA"/>
        </w:rPr>
        <w:t>Titres à inscrire</w:t>
      </w:r>
      <w:r w:rsidR="000B08F2" w:rsidRPr="0059083D">
        <w:rPr>
          <w:snapToGrid w:val="0"/>
          <w:lang w:val="fr-CA"/>
        </w:rPr>
        <w:t xml:space="preserve"> </w:t>
      </w:r>
      <w:r>
        <w:rPr>
          <w:snapToGrid w:val="0"/>
          <w:lang w:val="fr-CA"/>
        </w:rPr>
        <w:t xml:space="preserve">détenus par un cessionnaire, la participation d’un cessionnaire </w:t>
      </w:r>
      <w:bookmarkStart w:id="392" w:name="DocXTextRef309"/>
      <w:r w:rsidR="000B08F2" w:rsidRPr="0059083D">
        <w:rPr>
          <w:snapToGrid w:val="0"/>
          <w:lang w:val="fr-CA"/>
        </w:rPr>
        <w:t>(</w:t>
      </w:r>
      <w:r w:rsidR="000B08F2" w:rsidRPr="00986BEB">
        <w:rPr>
          <w:snapToGrid w:val="0"/>
          <w:lang w:val="fr-CA"/>
        </w:rPr>
        <w:t>1</w:t>
      </w:r>
      <w:r w:rsidR="000B08F2" w:rsidRPr="0059083D">
        <w:rPr>
          <w:snapToGrid w:val="0"/>
          <w:lang w:val="fr-CA"/>
        </w:rPr>
        <w:t>)</w:t>
      </w:r>
      <w:bookmarkEnd w:id="392"/>
      <w:r>
        <w:rPr>
          <w:snapToGrid w:val="0"/>
          <w:lang w:val="fr-CA"/>
        </w:rPr>
        <w:t xml:space="preserve"> qui est un </w:t>
      </w:r>
      <w:r w:rsidR="000B08F2" w:rsidRPr="0059083D">
        <w:rPr>
          <w:snapToGrid w:val="0"/>
          <w:lang w:val="fr-CA"/>
        </w:rPr>
        <w:t xml:space="preserve">Membre du même groupe </w:t>
      </w:r>
      <w:r>
        <w:rPr>
          <w:snapToGrid w:val="0"/>
          <w:lang w:val="fr-CA"/>
        </w:rPr>
        <w:t xml:space="preserve">qu’un Porteur ou un actionnaire d’un </w:t>
      </w:r>
      <w:r w:rsidR="0006561D" w:rsidRPr="0059083D">
        <w:rPr>
          <w:snapToGrid w:val="0"/>
          <w:lang w:val="fr-CA"/>
        </w:rPr>
        <w:t>Porteur</w:t>
      </w:r>
      <w:r w:rsidR="000B08F2" w:rsidRPr="0059083D">
        <w:rPr>
          <w:snapToGrid w:val="0"/>
          <w:lang w:val="fr-CA"/>
        </w:rPr>
        <w:t xml:space="preserve">; </w:t>
      </w:r>
      <w:bookmarkStart w:id="393" w:name="DocXTextRef310"/>
      <w:r w:rsidR="000B08F2" w:rsidRPr="0059083D">
        <w:rPr>
          <w:snapToGrid w:val="0"/>
          <w:lang w:val="fr-CA"/>
        </w:rPr>
        <w:t>(</w:t>
      </w:r>
      <w:r w:rsidR="000B08F2" w:rsidRPr="00986BEB">
        <w:rPr>
          <w:snapToGrid w:val="0"/>
          <w:lang w:val="fr-CA"/>
        </w:rPr>
        <w:t>2</w:t>
      </w:r>
      <w:r w:rsidR="000B08F2" w:rsidRPr="0059083D">
        <w:rPr>
          <w:snapToGrid w:val="0"/>
          <w:lang w:val="fr-CA"/>
        </w:rPr>
        <w:t>)</w:t>
      </w:r>
      <w:bookmarkEnd w:id="393"/>
      <w:r>
        <w:rPr>
          <w:snapToGrid w:val="0"/>
          <w:lang w:val="fr-CA"/>
        </w:rPr>
        <w:t xml:space="preserve"> qui est un </w:t>
      </w:r>
      <w:r w:rsidR="00F52467" w:rsidRPr="0059083D">
        <w:rPr>
          <w:snapToGrid w:val="0"/>
          <w:lang w:val="fr-CA"/>
        </w:rPr>
        <w:t>Membre de la famille immédiate</w:t>
      </w:r>
      <w:r>
        <w:rPr>
          <w:snapToGrid w:val="0"/>
          <w:lang w:val="fr-CA"/>
        </w:rPr>
        <w:t xml:space="preserve"> d’un Porteur</w:t>
      </w:r>
      <w:r w:rsidR="000B08F2" w:rsidRPr="0059083D">
        <w:rPr>
          <w:snapToGrid w:val="0"/>
          <w:lang w:val="fr-CA"/>
        </w:rPr>
        <w:t xml:space="preserve">; </w:t>
      </w:r>
      <w:r>
        <w:rPr>
          <w:snapToGrid w:val="0"/>
          <w:lang w:val="fr-CA"/>
        </w:rPr>
        <w:t>ou</w:t>
      </w:r>
      <w:r w:rsidR="000B08F2" w:rsidRPr="0059083D">
        <w:rPr>
          <w:snapToGrid w:val="0"/>
          <w:lang w:val="fr-CA"/>
        </w:rPr>
        <w:t xml:space="preserve"> </w:t>
      </w:r>
      <w:bookmarkStart w:id="394" w:name="DocXTextRef311"/>
      <w:r w:rsidR="000B08F2" w:rsidRPr="0059083D">
        <w:rPr>
          <w:snapToGrid w:val="0"/>
          <w:lang w:val="fr-CA"/>
        </w:rPr>
        <w:t>(</w:t>
      </w:r>
      <w:r w:rsidR="000B08F2" w:rsidRPr="00986BEB">
        <w:rPr>
          <w:snapToGrid w:val="0"/>
          <w:lang w:val="fr-CA"/>
        </w:rPr>
        <w:t>3</w:t>
      </w:r>
      <w:r w:rsidR="000B08F2" w:rsidRPr="0059083D">
        <w:rPr>
          <w:snapToGrid w:val="0"/>
          <w:lang w:val="fr-CA"/>
        </w:rPr>
        <w:t>)</w:t>
      </w:r>
      <w:bookmarkEnd w:id="394"/>
      <w:r>
        <w:rPr>
          <w:snapToGrid w:val="0"/>
          <w:lang w:val="fr-CA"/>
        </w:rPr>
        <w:t xml:space="preserve"> qui est une fiducie au profit d’un Porteur qui est un particulier ou d’un </w:t>
      </w:r>
      <w:r w:rsidR="00F52467" w:rsidRPr="0059083D">
        <w:rPr>
          <w:snapToGrid w:val="0"/>
          <w:lang w:val="fr-CA"/>
        </w:rPr>
        <w:t>Membre de la famille immédiate</w:t>
      </w:r>
      <w:r w:rsidR="000B08F2" w:rsidRPr="0059083D">
        <w:rPr>
          <w:snapToGrid w:val="0"/>
          <w:lang w:val="fr-CA"/>
        </w:rPr>
        <w:t xml:space="preserve"> </w:t>
      </w:r>
      <w:r>
        <w:rPr>
          <w:snapToGrid w:val="0"/>
          <w:lang w:val="fr-CA"/>
        </w:rPr>
        <w:t xml:space="preserve">d’un tel Porteur est regroupée avec </w:t>
      </w:r>
      <w:r w:rsidR="00166D70">
        <w:rPr>
          <w:snapToGrid w:val="0"/>
          <w:lang w:val="fr-CA"/>
        </w:rPr>
        <w:t xml:space="preserve">la participation </w:t>
      </w:r>
      <w:r>
        <w:rPr>
          <w:snapToGrid w:val="0"/>
          <w:lang w:val="fr-CA"/>
        </w:rPr>
        <w:t xml:space="preserve">du </w:t>
      </w:r>
      <w:r w:rsidR="0006561D" w:rsidRPr="0059083D">
        <w:rPr>
          <w:snapToGrid w:val="0"/>
          <w:lang w:val="fr-CA"/>
        </w:rPr>
        <w:t>Porteur</w:t>
      </w:r>
      <w:r>
        <w:rPr>
          <w:snapToGrid w:val="0"/>
          <w:lang w:val="fr-CA"/>
        </w:rPr>
        <w:t xml:space="preserve"> cédant</w:t>
      </w:r>
      <w:r w:rsidR="00166D70">
        <w:rPr>
          <w:snapToGrid w:val="0"/>
          <w:lang w:val="fr-CA"/>
        </w:rPr>
        <w:t xml:space="preserve">; de plus, il est entendu </w:t>
      </w:r>
      <w:r>
        <w:rPr>
          <w:snapToGrid w:val="0"/>
          <w:lang w:val="fr-CA"/>
        </w:rPr>
        <w:t xml:space="preserve">que tous les cessionnaires qui ne seraient pas </w:t>
      </w:r>
      <w:r w:rsidR="00166D70">
        <w:rPr>
          <w:snapToGrid w:val="0"/>
          <w:lang w:val="fr-CA"/>
        </w:rPr>
        <w:t xml:space="preserve">autorisés individuellement à céder des </w:t>
      </w:r>
      <w:r>
        <w:rPr>
          <w:snapToGrid w:val="0"/>
          <w:lang w:val="fr-CA"/>
        </w:rPr>
        <w:t xml:space="preserve">droits </w:t>
      </w:r>
      <w:r w:rsidR="00166D70">
        <w:rPr>
          <w:snapToGrid w:val="0"/>
          <w:lang w:val="fr-CA"/>
        </w:rPr>
        <w:t xml:space="preserve">doivent, comme condition </w:t>
      </w:r>
      <w:r w:rsidR="00CC759E">
        <w:rPr>
          <w:snapToGrid w:val="0"/>
          <w:lang w:val="fr-CA"/>
        </w:rPr>
        <w:t xml:space="preserve">à la cession applicable, </w:t>
      </w:r>
      <w:r>
        <w:rPr>
          <w:snapToGrid w:val="0"/>
          <w:lang w:val="fr-CA"/>
        </w:rPr>
        <w:t>désigne</w:t>
      </w:r>
      <w:r w:rsidR="00CC759E">
        <w:rPr>
          <w:snapToGrid w:val="0"/>
          <w:lang w:val="fr-CA"/>
        </w:rPr>
        <w:t>r</w:t>
      </w:r>
      <w:r>
        <w:rPr>
          <w:snapToGrid w:val="0"/>
          <w:lang w:val="fr-CA"/>
        </w:rPr>
        <w:t xml:space="preserve"> une seule personne pour qu’elle agisse en leur nom aux termes d’une procuration aux fins de l’exercice de droits, de la réception </w:t>
      </w:r>
      <w:r w:rsidR="00A0285D">
        <w:rPr>
          <w:snapToGrid w:val="0"/>
          <w:lang w:val="fr-CA"/>
        </w:rPr>
        <w:t>d’</w:t>
      </w:r>
      <w:r>
        <w:rPr>
          <w:snapToGrid w:val="0"/>
          <w:lang w:val="fr-CA"/>
        </w:rPr>
        <w:t>avis ou de la prise de mesure</w:t>
      </w:r>
      <w:r w:rsidR="00A0285D">
        <w:rPr>
          <w:snapToGrid w:val="0"/>
          <w:lang w:val="fr-CA"/>
        </w:rPr>
        <w:t>s</w:t>
      </w:r>
      <w:r>
        <w:rPr>
          <w:snapToGrid w:val="0"/>
          <w:lang w:val="fr-CA"/>
        </w:rPr>
        <w:t xml:space="preserve"> aux termes de </w:t>
      </w:r>
      <w:r w:rsidR="000B08F2" w:rsidRPr="0059083D">
        <w:rPr>
          <w:snapToGrid w:val="0"/>
          <w:lang w:val="fr-CA"/>
        </w:rPr>
        <w:t>la présente Convention</w:t>
      </w:r>
      <w:r w:rsidR="000B08F2" w:rsidRPr="00BE40AC">
        <w:rPr>
          <w:snapToGrid w:val="0"/>
          <w:lang w:val="fr-CA"/>
        </w:rPr>
        <w:t xml:space="preserve">. </w:t>
      </w:r>
      <w:r w:rsidR="00A758B4" w:rsidRPr="00BE40AC">
        <w:rPr>
          <w:snapToGrid w:val="0"/>
          <w:lang w:val="fr-CA"/>
        </w:rPr>
        <w:t>Les modalités et conditions de la présente Convention s’appliquent à l’avantage des successeurs et cessionnaires autorisés respectifs des parties et les lient. Aucune disposition expresse ou implicite de la présente Convention ne vise à conférer à une partie autre que les parties aux présentes ou leurs successeurs et cessionnaires autorisés respectifs des droits, recours, obligations ou passifs aux termes de la présente Convention ou en conséquence de celle-ci, sauf mention expresse aux présentes.</w:t>
      </w:r>
    </w:p>
    <w:p w14:paraId="17595898" w14:textId="0C6902E3" w:rsidR="00037C7E" w:rsidRPr="00BE40AC" w:rsidRDefault="00A758B4">
      <w:pPr>
        <w:pStyle w:val="StandardL2"/>
        <w:rPr>
          <w:lang w:val="fr-CA"/>
        </w:rPr>
      </w:pPr>
      <w:bookmarkStart w:id="395" w:name="_Toc448312487"/>
      <w:bookmarkStart w:id="396" w:name="_Ref448322862"/>
      <w:bookmarkStart w:id="397" w:name="_Toc448326880"/>
      <w:bookmarkStart w:id="398" w:name="_Toc525307224"/>
      <w:bookmarkStart w:id="399" w:name="_Toc130911339"/>
      <w:bookmarkStart w:id="400" w:name="_Ref448380660"/>
      <w:bookmarkStart w:id="401" w:name="_Toc132874760"/>
      <w:r w:rsidRPr="00BE40AC">
        <w:rPr>
          <w:lang w:val="fr-CA"/>
        </w:rPr>
        <w:t>Droit applicable.</w:t>
      </w:r>
      <w:bookmarkEnd w:id="395"/>
      <w:bookmarkEnd w:id="396"/>
      <w:bookmarkEnd w:id="397"/>
      <w:bookmarkEnd w:id="398"/>
      <w:bookmarkEnd w:id="399"/>
      <w:bookmarkEnd w:id="400"/>
      <w:bookmarkEnd w:id="401"/>
    </w:p>
    <w:p w14:paraId="76D63240" w14:textId="5EAAD7D4" w:rsidR="00A758B4" w:rsidRPr="00BE40AC" w:rsidRDefault="00A758B4">
      <w:pPr>
        <w:pStyle w:val="StandardCont2"/>
        <w:rPr>
          <w:snapToGrid w:val="0"/>
          <w:lang w:val="fr-CA"/>
        </w:rPr>
      </w:pPr>
      <w:r w:rsidRPr="00BE40AC">
        <w:rPr>
          <w:snapToGrid w:val="0"/>
          <w:lang w:val="fr-CA"/>
        </w:rPr>
        <w:t>La présente Convention est régie par les lois de la province de [indiquer] sans égard aux principes en matière de conflit de lois qui donneraient lieu à l’application d</w:t>
      </w:r>
      <w:r w:rsidR="000C4CB8" w:rsidRPr="00BE40AC">
        <w:rPr>
          <w:snapToGrid w:val="0"/>
          <w:lang w:val="fr-CA"/>
        </w:rPr>
        <w:t>es lois</w:t>
      </w:r>
      <w:r w:rsidRPr="00BE40AC">
        <w:rPr>
          <w:snapToGrid w:val="0"/>
          <w:lang w:val="fr-CA"/>
        </w:rPr>
        <w:t xml:space="preserve"> d’un autre territoire que la province de [indiquer] et des lois du Canada qui s’appliquent dans cette province.</w:t>
      </w:r>
    </w:p>
    <w:p w14:paraId="2ECC0242" w14:textId="67E18053" w:rsidR="00037C7E" w:rsidRPr="00BE40AC" w:rsidRDefault="00A758B4">
      <w:pPr>
        <w:pStyle w:val="StandardL2"/>
        <w:rPr>
          <w:lang w:val="fr-CA"/>
        </w:rPr>
      </w:pPr>
      <w:bookmarkStart w:id="402" w:name="_Toc448312488"/>
      <w:bookmarkStart w:id="403" w:name="_Ref448322863"/>
      <w:bookmarkStart w:id="404" w:name="_Toc448326881"/>
      <w:bookmarkStart w:id="405" w:name="_Toc525307225"/>
      <w:bookmarkStart w:id="406" w:name="_Toc130911340"/>
      <w:bookmarkStart w:id="407" w:name="_Ref448380661"/>
      <w:bookmarkStart w:id="408" w:name="_Toc132874761"/>
      <w:r w:rsidRPr="00BE40AC">
        <w:rPr>
          <w:lang w:val="fr-CA"/>
        </w:rPr>
        <w:t>Exemplaires.</w:t>
      </w:r>
      <w:bookmarkEnd w:id="402"/>
      <w:bookmarkEnd w:id="403"/>
      <w:bookmarkEnd w:id="404"/>
      <w:bookmarkEnd w:id="405"/>
      <w:bookmarkEnd w:id="406"/>
      <w:bookmarkEnd w:id="407"/>
      <w:bookmarkEnd w:id="408"/>
    </w:p>
    <w:p w14:paraId="67F84E7D" w14:textId="61A4C86F" w:rsidR="00A758B4" w:rsidRPr="00BE40AC" w:rsidRDefault="00A758B4">
      <w:pPr>
        <w:pStyle w:val="StandardCont2"/>
        <w:rPr>
          <w:snapToGrid w:val="0"/>
          <w:lang w:val="fr-CA"/>
        </w:rPr>
      </w:pPr>
      <w:r w:rsidRPr="00BE40AC">
        <w:rPr>
          <w:snapToGrid w:val="0"/>
          <w:lang w:val="fr-CA"/>
        </w:rPr>
        <w:t>La présente Convention peut être signée en plusieurs exemplaires, qui, individuellement, sont réputés constituer un original et qui, collectivement, constituent un seul et même instrument. Les exemplaires peuvent être transmis par courriel (y compris en format PDF ou au moyen d’un outil de signature électronique, p. ex. www.docusign.com) ou par d’autres moyens de transmission, et tout exemplaire ainsi transmis sera réputé l’avoir été dûment et valablement en plus d’être valide et en vigueur à toutes fins.</w:t>
      </w:r>
    </w:p>
    <w:p w14:paraId="2BCB429C" w14:textId="4182FF1E" w:rsidR="00037C7E" w:rsidRPr="00BE40AC" w:rsidRDefault="00860BDF">
      <w:pPr>
        <w:pStyle w:val="StandardL2"/>
        <w:rPr>
          <w:lang w:val="fr-CA"/>
        </w:rPr>
      </w:pPr>
      <w:bookmarkStart w:id="409" w:name="_Toc448312489"/>
      <w:bookmarkStart w:id="410" w:name="_Ref448322864"/>
      <w:bookmarkStart w:id="411" w:name="_Toc448326882"/>
      <w:bookmarkStart w:id="412" w:name="_Toc525307226"/>
      <w:bookmarkStart w:id="413" w:name="_Toc130911341"/>
      <w:bookmarkStart w:id="414" w:name="_Ref448380662"/>
      <w:bookmarkStart w:id="415" w:name="_Toc132874762"/>
      <w:r w:rsidRPr="00BE40AC">
        <w:rPr>
          <w:lang w:val="fr-CA"/>
        </w:rPr>
        <w:t>Titres et sous-titres.</w:t>
      </w:r>
      <w:bookmarkEnd w:id="409"/>
      <w:bookmarkEnd w:id="410"/>
      <w:bookmarkEnd w:id="411"/>
      <w:bookmarkEnd w:id="412"/>
      <w:bookmarkEnd w:id="413"/>
      <w:bookmarkEnd w:id="414"/>
      <w:bookmarkEnd w:id="415"/>
    </w:p>
    <w:p w14:paraId="2FC71A5D" w14:textId="244C8771" w:rsidR="00037C7E" w:rsidRPr="00BE40AC" w:rsidRDefault="00860BDF">
      <w:pPr>
        <w:pStyle w:val="StandardCont2"/>
        <w:rPr>
          <w:lang w:val="fr-CA"/>
        </w:rPr>
      </w:pPr>
      <w:r w:rsidRPr="00BE40AC">
        <w:rPr>
          <w:snapToGrid w:val="0"/>
          <w:lang w:val="fr-CA"/>
        </w:rPr>
        <w:t>Les titres et sous-titres utilisés dans la présente Convention visent à en faciliter la lecture seulement et ne doivent pas servir à en interpréter les dispositions.</w:t>
      </w:r>
    </w:p>
    <w:p w14:paraId="044B2466" w14:textId="277B1624" w:rsidR="00037C7E" w:rsidRPr="00BE40AC" w:rsidRDefault="00860BDF" w:rsidP="001F725A">
      <w:pPr>
        <w:pStyle w:val="StandardL2"/>
        <w:rPr>
          <w:lang w:val="fr-CA"/>
        </w:rPr>
      </w:pPr>
      <w:bookmarkStart w:id="416" w:name="_Ref448380663"/>
      <w:bookmarkStart w:id="417" w:name="_Toc132874763"/>
      <w:r w:rsidRPr="00BE40AC">
        <w:rPr>
          <w:lang w:val="fr-CA"/>
        </w:rPr>
        <w:t>Avis</w:t>
      </w:r>
      <w:r w:rsidR="000B08F2" w:rsidRPr="00BE40AC">
        <w:rPr>
          <w:snapToGrid w:val="0"/>
          <w:lang w:val="fr-CA"/>
        </w:rPr>
        <w:t>.</w:t>
      </w:r>
      <w:bookmarkEnd w:id="416"/>
      <w:bookmarkEnd w:id="417"/>
    </w:p>
    <w:p w14:paraId="68BEA8DE" w14:textId="3B42E162" w:rsidR="00860BDF" w:rsidRPr="00BE40AC" w:rsidRDefault="00860BDF" w:rsidP="003C71BA">
      <w:pPr>
        <w:pStyle w:val="StandardL3"/>
        <w:rPr>
          <w:snapToGrid w:val="0"/>
          <w:lang w:val="fr-CA"/>
        </w:rPr>
      </w:pPr>
      <w:r w:rsidRPr="00BE40AC">
        <w:rPr>
          <w:snapToGrid w:val="0"/>
          <w:lang w:val="fr-CA"/>
        </w:rPr>
        <w:t>Tous les avis et autres communications donnés ou échangés aux termes de la présente Convention doivent être consignés par écrit et sont réputés avoir été donnés au moment de leur réception réelle ou, si cette éventualité survient en premier : (i) au moment de leur livraison en main propre au destinataire de l’avis; (ii) au moment de leur envoi, s’ils sont envoyés par courrier électronique durant les heures d’ouverture habituelles du destinataire et, s’ils ne sont pas envoyés durant les heures d’ouverture habituelles, le jour ouvrable suivant pour le destinataire; (iii) cinq (5) jours après leur envoi par courrier recommandé ou certifié, avec demande d’accusé de réception, affranchi; ou (iv) un (1) jour ouvrable après le jour ouvrable d</w:t>
      </w:r>
      <w:r w:rsidR="00C87D80" w:rsidRPr="00BE40AC">
        <w:rPr>
          <w:snapToGrid w:val="0"/>
          <w:lang w:val="fr-CA"/>
        </w:rPr>
        <w:t>e leur</w:t>
      </w:r>
      <w:r w:rsidRPr="00BE40AC">
        <w:rPr>
          <w:snapToGrid w:val="0"/>
          <w:lang w:val="fr-CA"/>
        </w:rPr>
        <w:t xml:space="preserve"> dépôt auprès d’un service de messagerie reconnu à l’échelle nationale garantissant la livraison le jour suivant, port payé, auquel il a été précisé que la livraison doit être effectuée le jour suivant avec vérification de réception par écrit. Toutes les communications doivent être transmises aux parties respectives à leur adresse figurant à l’</w:t>
      </w:r>
      <w:r w:rsidR="009E61AF" w:rsidRPr="00BE40AC">
        <w:rPr>
          <w:lang w:val="fr-CA"/>
        </w:rPr>
        <w:fldChar w:fldCharType="begin"/>
      </w:r>
      <w:r w:rsidR="009E61AF" w:rsidRPr="00BE40AC">
        <w:rPr>
          <w:lang w:val="fr-CA"/>
        </w:rPr>
        <w:instrText xml:space="preserve"> REF _Ref118363277 \r \h  \* MERGEFORMAT </w:instrText>
      </w:r>
      <w:r w:rsidR="009E61AF" w:rsidRPr="00BE40AC">
        <w:rPr>
          <w:lang w:val="fr-CA"/>
        </w:rPr>
      </w:r>
      <w:r w:rsidR="009E61AF" w:rsidRPr="00BE40AC">
        <w:rPr>
          <w:lang w:val="fr-CA"/>
        </w:rPr>
        <w:fldChar w:fldCharType="separate"/>
      </w:r>
      <w:r w:rsidR="00AE1D96">
        <w:rPr>
          <w:lang w:val="fr-CA"/>
        </w:rPr>
        <w:t>Annexe A</w:t>
      </w:r>
      <w:r w:rsidR="009E61AF" w:rsidRPr="00BE40AC">
        <w:rPr>
          <w:lang w:val="fr-CA"/>
        </w:rPr>
        <w:fldChar w:fldCharType="end"/>
      </w:r>
      <w:r w:rsidR="009E61AF" w:rsidRPr="00BE40AC">
        <w:rPr>
          <w:snapToGrid w:val="0"/>
          <w:lang w:val="fr-CA"/>
        </w:rPr>
        <w:t xml:space="preserve"> [ou à l’</w:t>
      </w:r>
      <w:r w:rsidR="009E61AF" w:rsidRPr="00BE40AC">
        <w:rPr>
          <w:snapToGrid w:val="0"/>
          <w:lang w:val="fr-CA"/>
        </w:rPr>
        <w:fldChar w:fldCharType="begin"/>
      </w:r>
      <w:r w:rsidR="009E61AF" w:rsidRPr="00BE40AC">
        <w:rPr>
          <w:snapToGrid w:val="0"/>
          <w:lang w:val="fr-CA"/>
        </w:rPr>
        <w:instrText xml:space="preserve">  REF _Ref448380673 \w \h \* MERGEFORMAT </w:instrText>
      </w:r>
      <w:r w:rsidR="009E61AF" w:rsidRPr="00BE40AC">
        <w:rPr>
          <w:snapToGrid w:val="0"/>
          <w:lang w:val="fr-CA"/>
        </w:rPr>
      </w:r>
      <w:r w:rsidR="009E61AF" w:rsidRPr="00BE40AC">
        <w:rPr>
          <w:snapToGrid w:val="0"/>
          <w:lang w:val="fr-CA"/>
        </w:rPr>
        <w:fldChar w:fldCharType="separate"/>
      </w:r>
      <w:r w:rsidR="00AE1D96" w:rsidRPr="00AE1D96">
        <w:rPr>
          <w:snapToGrid w:val="0"/>
          <w:color w:val="000000"/>
          <w:lang w:val="fr-CA"/>
        </w:rPr>
        <w:t>Annexe B</w:t>
      </w:r>
      <w:r w:rsidR="009E61AF" w:rsidRPr="00BE40AC">
        <w:rPr>
          <w:snapToGrid w:val="0"/>
          <w:lang w:val="fr-CA"/>
        </w:rPr>
        <w:fldChar w:fldCharType="end"/>
      </w:r>
      <w:r w:rsidR="009E61AF" w:rsidRPr="00BE40AC">
        <w:rPr>
          <w:snapToGrid w:val="0"/>
          <w:lang w:val="fr-CA"/>
        </w:rPr>
        <w:t xml:space="preserve"> (selon le cas)] des présentes ou (en ce qui concerne la Société) au bureau principal de la Société et à l’attention du </w:t>
      </w:r>
      <w:r w:rsidR="000C4CB8" w:rsidRPr="00BE40AC">
        <w:rPr>
          <w:snapToGrid w:val="0"/>
          <w:lang w:val="fr-CA"/>
        </w:rPr>
        <w:t>c</w:t>
      </w:r>
      <w:r w:rsidR="009E61AF" w:rsidRPr="00BE40AC">
        <w:rPr>
          <w:snapToGrid w:val="0"/>
          <w:lang w:val="fr-CA"/>
        </w:rPr>
        <w:t xml:space="preserve">hef de la direction ou, dans tous les cas, </w:t>
      </w:r>
      <w:r w:rsidRPr="00BE40AC">
        <w:rPr>
          <w:snapToGrid w:val="0"/>
          <w:lang w:val="fr-CA"/>
        </w:rPr>
        <w:t xml:space="preserve">à l’adresse courriel ou à l’adresse postale subséquemment modifiée au moyen d’un avis écrit donné conformément au présent </w:t>
      </w:r>
      <w:r w:rsidRPr="00BE40AC">
        <w:rPr>
          <w:snapToGrid w:val="0"/>
          <w:u w:val="single"/>
          <w:lang w:val="fr-CA"/>
        </w:rPr>
        <w:t>paragraphe </w:t>
      </w:r>
      <w:r w:rsidR="009E61AF" w:rsidRPr="00BE40AC">
        <w:rPr>
          <w:snapToGrid w:val="0"/>
          <w:u w:val="single"/>
          <w:lang w:val="fr-CA"/>
        </w:rPr>
        <w:fldChar w:fldCharType="begin"/>
      </w:r>
      <w:r w:rsidR="009E61AF" w:rsidRPr="00BE40AC">
        <w:rPr>
          <w:snapToGrid w:val="0"/>
          <w:u w:val="single"/>
          <w:lang w:val="fr-CA"/>
        </w:rPr>
        <w:instrText xml:space="preserve">  REF _Ref448380663 \w \h \* MERGEFORMAT </w:instrText>
      </w:r>
      <w:r w:rsidR="009E61AF" w:rsidRPr="00BE40AC">
        <w:rPr>
          <w:snapToGrid w:val="0"/>
          <w:u w:val="single"/>
          <w:lang w:val="fr-CA"/>
        </w:rPr>
      </w:r>
      <w:r w:rsidR="009E61AF" w:rsidRPr="00BE40AC">
        <w:rPr>
          <w:snapToGrid w:val="0"/>
          <w:u w:val="single"/>
          <w:lang w:val="fr-CA"/>
        </w:rPr>
        <w:fldChar w:fldCharType="separate"/>
      </w:r>
      <w:r w:rsidR="00AE1D96" w:rsidRPr="00AE1D96">
        <w:rPr>
          <w:snapToGrid w:val="0"/>
          <w:color w:val="000000"/>
          <w:u w:val="single"/>
          <w:lang w:val="fr-CA"/>
        </w:rPr>
        <w:t>6.5</w:t>
      </w:r>
      <w:r w:rsidR="009E61AF" w:rsidRPr="00BE40AC">
        <w:rPr>
          <w:snapToGrid w:val="0"/>
          <w:u w:val="single"/>
          <w:lang w:val="fr-CA"/>
        </w:rPr>
        <w:fldChar w:fldCharType="end"/>
      </w:r>
      <w:r w:rsidRPr="00BE40AC">
        <w:rPr>
          <w:snapToGrid w:val="0"/>
          <w:lang w:val="fr-CA"/>
        </w:rPr>
        <w:t>. Si un avis est donné à la Société, une copie (qui ne constituera pas un avis) sera également envoyée à [</w:t>
      </w:r>
      <w:r w:rsidR="00C87D80" w:rsidRPr="00BE40AC">
        <w:rPr>
          <w:i/>
          <w:iCs/>
          <w:snapToGrid w:val="0"/>
          <w:lang w:val="fr-CA"/>
        </w:rPr>
        <w:t>n</w:t>
      </w:r>
      <w:r w:rsidRPr="00BE40AC">
        <w:rPr>
          <w:i/>
          <w:iCs/>
          <w:snapToGrid w:val="0"/>
          <w:lang w:val="fr-CA"/>
        </w:rPr>
        <w:t>om</w:t>
      </w:r>
      <w:r w:rsidR="009E61AF" w:rsidRPr="00BE40AC">
        <w:rPr>
          <w:i/>
          <w:iCs/>
          <w:snapToGrid w:val="0"/>
          <w:lang w:val="fr-CA"/>
        </w:rPr>
        <w:t xml:space="preserve"> et</w:t>
      </w:r>
      <w:r w:rsidRPr="00BE40AC">
        <w:rPr>
          <w:i/>
          <w:iCs/>
          <w:snapToGrid w:val="0"/>
          <w:lang w:val="fr-CA"/>
        </w:rPr>
        <w:t xml:space="preserve"> adresse d</w:t>
      </w:r>
      <w:r w:rsidR="000C4CB8" w:rsidRPr="00BE40AC">
        <w:rPr>
          <w:i/>
          <w:iCs/>
          <w:snapToGrid w:val="0"/>
          <w:lang w:val="fr-CA"/>
        </w:rPr>
        <w:t>u</w:t>
      </w:r>
      <w:r w:rsidRPr="00BE40AC">
        <w:rPr>
          <w:i/>
          <w:iCs/>
          <w:snapToGrid w:val="0"/>
          <w:lang w:val="fr-CA"/>
        </w:rPr>
        <w:t xml:space="preserve"> conseiller juridique de la Société</w:t>
      </w:r>
      <w:r w:rsidRPr="00BE40AC">
        <w:rPr>
          <w:snapToGrid w:val="0"/>
          <w:lang w:val="fr-CA"/>
        </w:rPr>
        <w:t>]</w:t>
      </w:r>
      <w:r w:rsidR="009E61AF" w:rsidRPr="00BE40AC">
        <w:rPr>
          <w:snapToGrid w:val="0"/>
          <w:lang w:val="fr-CA"/>
        </w:rPr>
        <w:t>[</w:t>
      </w:r>
      <w:r w:rsidR="00C87D80" w:rsidRPr="00BE40AC">
        <w:rPr>
          <w:snapToGrid w:val="0"/>
          <w:lang w:val="fr-CA"/>
        </w:rPr>
        <w:t xml:space="preserve">, </w:t>
      </w:r>
      <w:r w:rsidRPr="00BE40AC">
        <w:rPr>
          <w:snapToGrid w:val="0"/>
          <w:lang w:val="fr-CA"/>
        </w:rPr>
        <w:t xml:space="preserve">et si un avis est donné aux </w:t>
      </w:r>
      <w:r w:rsidR="009E61AF" w:rsidRPr="00BE40AC">
        <w:rPr>
          <w:snapToGrid w:val="0"/>
          <w:lang w:val="fr-CA"/>
        </w:rPr>
        <w:t>Investisseurs</w:t>
      </w:r>
      <w:r w:rsidRPr="00BE40AC">
        <w:rPr>
          <w:snapToGrid w:val="0"/>
          <w:lang w:val="fr-CA"/>
        </w:rPr>
        <w:t>, une copie (qui ne constituera pas un avis) sera également envoyée à [</w:t>
      </w:r>
      <w:r w:rsidR="00C87D80" w:rsidRPr="00BE40AC">
        <w:rPr>
          <w:i/>
          <w:iCs/>
          <w:snapToGrid w:val="0"/>
          <w:lang w:val="fr-CA"/>
        </w:rPr>
        <w:t>n</w:t>
      </w:r>
      <w:r w:rsidRPr="00BE40AC">
        <w:rPr>
          <w:i/>
          <w:iCs/>
          <w:snapToGrid w:val="0"/>
          <w:lang w:val="fr-CA"/>
        </w:rPr>
        <w:t>om</w:t>
      </w:r>
      <w:r w:rsidR="00264601" w:rsidRPr="00BE40AC">
        <w:rPr>
          <w:i/>
          <w:iCs/>
          <w:snapToGrid w:val="0"/>
          <w:lang w:val="fr-CA"/>
        </w:rPr>
        <w:t xml:space="preserve"> et</w:t>
      </w:r>
      <w:r w:rsidRPr="00BE40AC">
        <w:rPr>
          <w:i/>
          <w:iCs/>
          <w:snapToGrid w:val="0"/>
          <w:lang w:val="fr-CA"/>
        </w:rPr>
        <w:t xml:space="preserve"> adresse d</w:t>
      </w:r>
      <w:r w:rsidR="000C4CB8" w:rsidRPr="00BE40AC">
        <w:rPr>
          <w:i/>
          <w:iCs/>
          <w:snapToGrid w:val="0"/>
          <w:lang w:val="fr-CA"/>
        </w:rPr>
        <w:t>u</w:t>
      </w:r>
      <w:r w:rsidRPr="00BE40AC">
        <w:rPr>
          <w:i/>
          <w:iCs/>
          <w:snapToGrid w:val="0"/>
          <w:lang w:val="fr-CA"/>
        </w:rPr>
        <w:t xml:space="preserve"> conseiller juridique des </w:t>
      </w:r>
      <w:r w:rsidR="00264601" w:rsidRPr="00BE40AC">
        <w:rPr>
          <w:i/>
          <w:iCs/>
          <w:snapToGrid w:val="0"/>
          <w:lang w:val="fr-CA"/>
        </w:rPr>
        <w:t>Investisseurs</w:t>
      </w:r>
      <w:r w:rsidRPr="00BE40AC">
        <w:rPr>
          <w:snapToGrid w:val="0"/>
          <w:lang w:val="fr-CA"/>
        </w:rPr>
        <w:t>]</w:t>
      </w:r>
      <w:r w:rsidR="00BE40AC">
        <w:rPr>
          <w:rStyle w:val="FootnoteReference"/>
          <w:snapToGrid w:val="0"/>
        </w:rPr>
        <w:footnoteReference w:id="67"/>
      </w:r>
      <w:r w:rsidR="00BE40AC" w:rsidRPr="00BE40AC">
        <w:rPr>
          <w:snapToGrid w:val="0"/>
          <w:lang w:val="fr-CA"/>
        </w:rPr>
        <w:t>.</w:t>
      </w:r>
    </w:p>
    <w:p w14:paraId="53074364" w14:textId="7591BA84" w:rsidR="001F725A" w:rsidRPr="00BE40AC" w:rsidRDefault="000B08F2" w:rsidP="003C71BA">
      <w:pPr>
        <w:pStyle w:val="StandardL3"/>
        <w:rPr>
          <w:snapToGrid w:val="0"/>
          <w:lang w:val="fr-CA"/>
        </w:rPr>
      </w:pPr>
      <w:r w:rsidRPr="00BE40AC">
        <w:rPr>
          <w:snapToGrid w:val="0"/>
          <w:u w:val="single"/>
          <w:lang w:val="fr-CA"/>
        </w:rPr>
        <w:t>Consent</w:t>
      </w:r>
      <w:r w:rsidR="00365602" w:rsidRPr="00BE40AC">
        <w:rPr>
          <w:snapToGrid w:val="0"/>
          <w:u w:val="single"/>
          <w:lang w:val="fr-CA"/>
        </w:rPr>
        <w:t>ement aux avis électroniques</w:t>
      </w:r>
      <w:r w:rsidRPr="00BE40AC">
        <w:rPr>
          <w:snapToGrid w:val="0"/>
          <w:lang w:val="fr-CA"/>
        </w:rPr>
        <w:t xml:space="preserve">. </w:t>
      </w:r>
      <w:r w:rsidR="00365602" w:rsidRPr="00BE40AC">
        <w:rPr>
          <w:snapToGrid w:val="0"/>
          <w:lang w:val="fr-CA"/>
        </w:rPr>
        <w:t xml:space="preserve">Chaque </w:t>
      </w:r>
      <w:r w:rsidR="000F37C7" w:rsidRPr="00BE40AC">
        <w:rPr>
          <w:snapToGrid w:val="0"/>
          <w:lang w:val="fr-CA"/>
        </w:rPr>
        <w:t>Investisseur</w:t>
      </w:r>
      <w:r w:rsidRPr="00BE40AC">
        <w:rPr>
          <w:snapToGrid w:val="0"/>
          <w:lang w:val="fr-CA"/>
        </w:rPr>
        <w:t xml:space="preserve"> [</w:t>
      </w:r>
      <w:r w:rsidR="00365602" w:rsidRPr="00BE40AC">
        <w:rPr>
          <w:snapToGrid w:val="0"/>
          <w:lang w:val="fr-CA"/>
        </w:rPr>
        <w:t xml:space="preserve">et </w:t>
      </w:r>
      <w:r w:rsidR="00E67397" w:rsidRPr="00BE40AC">
        <w:rPr>
          <w:snapToGrid w:val="0"/>
          <w:lang w:val="fr-CA"/>
        </w:rPr>
        <w:t>Porteur clé</w:t>
      </w:r>
      <w:r w:rsidRPr="00BE40AC">
        <w:rPr>
          <w:snapToGrid w:val="0"/>
          <w:lang w:val="fr-CA"/>
        </w:rPr>
        <w:t xml:space="preserve">] </w:t>
      </w:r>
      <w:r w:rsidR="00365602" w:rsidRPr="00BE40AC">
        <w:rPr>
          <w:snapToGrid w:val="0"/>
          <w:lang w:val="fr-CA"/>
        </w:rPr>
        <w:t xml:space="preserve">consent à la transmission de tout avis prévu aux présentes par voie électronique à l’adresse courriel indiquée sous le nom de cet </w:t>
      </w:r>
      <w:r w:rsidR="000F37C7" w:rsidRPr="00BE40AC">
        <w:rPr>
          <w:snapToGrid w:val="0"/>
          <w:lang w:val="fr-CA"/>
        </w:rPr>
        <w:t>Investisseur</w:t>
      </w:r>
      <w:r w:rsidRPr="00BE40AC">
        <w:rPr>
          <w:snapToGrid w:val="0"/>
          <w:lang w:val="fr-CA"/>
        </w:rPr>
        <w:t xml:space="preserve"> [o</w:t>
      </w:r>
      <w:r w:rsidR="00365602" w:rsidRPr="00BE40AC">
        <w:rPr>
          <w:snapToGrid w:val="0"/>
          <w:lang w:val="fr-CA"/>
        </w:rPr>
        <w:t>u</w:t>
      </w:r>
      <w:r w:rsidRPr="00BE40AC">
        <w:rPr>
          <w:snapToGrid w:val="0"/>
          <w:lang w:val="fr-CA"/>
        </w:rPr>
        <w:t xml:space="preserve"> </w:t>
      </w:r>
      <w:r w:rsidR="00E67397" w:rsidRPr="00BE40AC">
        <w:rPr>
          <w:snapToGrid w:val="0"/>
          <w:lang w:val="fr-CA"/>
        </w:rPr>
        <w:t>Porteur clé</w:t>
      </w:r>
      <w:r w:rsidRPr="00BE40AC">
        <w:rPr>
          <w:snapToGrid w:val="0"/>
          <w:lang w:val="fr-CA"/>
        </w:rPr>
        <w:t xml:space="preserve">] </w:t>
      </w:r>
      <w:r w:rsidR="00365602" w:rsidRPr="00BE40AC">
        <w:rPr>
          <w:snapToGrid w:val="0"/>
          <w:lang w:val="fr-CA"/>
        </w:rPr>
        <w:t>dans les annexes des présentes</w:t>
      </w:r>
      <w:r w:rsidRPr="00BE40AC">
        <w:rPr>
          <w:snapToGrid w:val="0"/>
          <w:lang w:val="fr-CA"/>
        </w:rPr>
        <w:t xml:space="preserve">, </w:t>
      </w:r>
      <w:r w:rsidR="00365602" w:rsidRPr="00BE40AC">
        <w:rPr>
          <w:snapToGrid w:val="0"/>
          <w:lang w:val="fr-CA"/>
        </w:rPr>
        <w:t xml:space="preserve">telle qu’elle peut être mise à jour à l’occasion moyennant un avis à </w:t>
      </w:r>
      <w:r w:rsidRPr="00BE40AC">
        <w:rPr>
          <w:snapToGrid w:val="0"/>
          <w:lang w:val="fr-CA"/>
        </w:rPr>
        <w:t xml:space="preserve">la Société, </w:t>
      </w:r>
      <w:r w:rsidR="00365602" w:rsidRPr="00BE40AC">
        <w:rPr>
          <w:snapToGrid w:val="0"/>
          <w:lang w:val="fr-CA"/>
        </w:rPr>
        <w:t xml:space="preserve">ou telle qu’elle figure dans les registres de la </w:t>
      </w:r>
      <w:r w:rsidRPr="00BE40AC">
        <w:rPr>
          <w:snapToGrid w:val="0"/>
          <w:lang w:val="fr-CA"/>
        </w:rPr>
        <w:t xml:space="preserve">Société. </w:t>
      </w:r>
      <w:r w:rsidR="003A4511" w:rsidRPr="00BE40AC">
        <w:rPr>
          <w:snapToGrid w:val="0"/>
          <w:lang w:val="fr-CA"/>
        </w:rPr>
        <w:t>Dans la mesure où un avis transmis par voie électronique est retourné ou est non distribuable pour quelque raison que ce soit, le consentement qui précède est réputé avoir été révoqué jusqu’à ce qu’une adresse courriel nouvelle ou corrigée ait été fournie</w:t>
      </w:r>
      <w:r w:rsidRPr="00BE40AC">
        <w:rPr>
          <w:snapToGrid w:val="0"/>
          <w:lang w:val="fr-CA"/>
        </w:rPr>
        <w:t xml:space="preserve">, </w:t>
      </w:r>
      <w:r w:rsidR="003A4511" w:rsidRPr="00BE40AC">
        <w:rPr>
          <w:snapToGrid w:val="0"/>
          <w:lang w:val="fr-CA"/>
        </w:rPr>
        <w:t>et l’avis qui a fait l’objet de la tentative de transmission électronique est sans effet et est réputé ne pas avoir été transmis</w:t>
      </w:r>
      <w:r w:rsidRPr="00BE40AC">
        <w:rPr>
          <w:snapToGrid w:val="0"/>
          <w:lang w:val="fr-CA"/>
        </w:rPr>
        <w:t xml:space="preserve">. </w:t>
      </w:r>
      <w:r w:rsidR="003A4511" w:rsidRPr="00BE40AC">
        <w:rPr>
          <w:snapToGrid w:val="0"/>
          <w:lang w:val="fr-CA"/>
        </w:rPr>
        <w:t xml:space="preserve">Chaque </w:t>
      </w:r>
      <w:r w:rsidR="000F37C7" w:rsidRPr="00BE40AC">
        <w:rPr>
          <w:snapToGrid w:val="0"/>
          <w:lang w:val="fr-CA"/>
        </w:rPr>
        <w:t>Investisseur</w:t>
      </w:r>
      <w:r w:rsidRPr="00BE40AC">
        <w:rPr>
          <w:snapToGrid w:val="0"/>
          <w:lang w:val="fr-CA"/>
        </w:rPr>
        <w:t xml:space="preserve"> [</w:t>
      </w:r>
      <w:r w:rsidR="003A4511" w:rsidRPr="00BE40AC">
        <w:rPr>
          <w:snapToGrid w:val="0"/>
          <w:lang w:val="fr-CA"/>
        </w:rPr>
        <w:t xml:space="preserve">et </w:t>
      </w:r>
      <w:r w:rsidR="00E67397" w:rsidRPr="00BE40AC">
        <w:rPr>
          <w:snapToGrid w:val="0"/>
          <w:lang w:val="fr-CA"/>
        </w:rPr>
        <w:t>Porteur clé</w:t>
      </w:r>
      <w:r w:rsidRPr="00BE40AC">
        <w:rPr>
          <w:snapToGrid w:val="0"/>
          <w:lang w:val="fr-CA"/>
        </w:rPr>
        <w:t xml:space="preserve">] </w:t>
      </w:r>
      <w:r w:rsidR="003A4511" w:rsidRPr="00BE40AC">
        <w:rPr>
          <w:snapToGrid w:val="0"/>
          <w:lang w:val="fr-CA"/>
        </w:rPr>
        <w:t xml:space="preserve">s’engage à aviser </w:t>
      </w:r>
      <w:r w:rsidRPr="00BE40AC">
        <w:rPr>
          <w:snapToGrid w:val="0"/>
          <w:lang w:val="fr-CA"/>
        </w:rPr>
        <w:t xml:space="preserve">la Société </w:t>
      </w:r>
      <w:r w:rsidR="003A4511" w:rsidRPr="00BE40AC">
        <w:rPr>
          <w:snapToGrid w:val="0"/>
          <w:lang w:val="fr-CA"/>
        </w:rPr>
        <w:t>dans les meilleurs délais de toute modification de son adresse courriel et convient que l’omission de ce faire n’a pas d’incidence sur ce qui précède</w:t>
      </w:r>
      <w:r w:rsidRPr="00BE40AC">
        <w:rPr>
          <w:snapToGrid w:val="0"/>
          <w:lang w:val="fr-CA"/>
        </w:rPr>
        <w:t>.</w:t>
      </w:r>
    </w:p>
    <w:p w14:paraId="58B146DE" w14:textId="34172F5B" w:rsidR="00037C7E" w:rsidRPr="00BE40AC" w:rsidRDefault="005C1B18" w:rsidP="001C48D8">
      <w:pPr>
        <w:pStyle w:val="StandardL2"/>
        <w:rPr>
          <w:lang w:val="fr-CA"/>
        </w:rPr>
      </w:pPr>
      <w:bookmarkStart w:id="418" w:name="_Ref448380664"/>
      <w:bookmarkStart w:id="419" w:name="_Toc132874764"/>
      <w:r w:rsidRPr="00BE40AC">
        <w:rPr>
          <w:lang w:val="fr-CA"/>
        </w:rPr>
        <w:t>Modifications et renonciation</w:t>
      </w:r>
      <w:bookmarkStart w:id="420" w:name="_Ref448380731"/>
      <w:r w:rsidR="00372AE4" w:rsidRPr="00BE40AC">
        <w:rPr>
          <w:lang w:val="fr-CA"/>
        </w:rPr>
        <w:t>s</w:t>
      </w:r>
      <w:r w:rsidRPr="00BE40AC">
        <w:rPr>
          <w:rStyle w:val="FootnoteReference"/>
          <w:snapToGrid w:val="0"/>
          <w:lang w:val="fr-CA"/>
        </w:rPr>
        <w:footnoteReference w:id="68"/>
      </w:r>
      <w:bookmarkEnd w:id="420"/>
      <w:r w:rsidR="000B08F2" w:rsidRPr="00BE40AC">
        <w:rPr>
          <w:snapToGrid w:val="0"/>
          <w:lang w:val="fr-CA"/>
        </w:rPr>
        <w:t>.</w:t>
      </w:r>
      <w:bookmarkEnd w:id="418"/>
      <w:bookmarkEnd w:id="419"/>
    </w:p>
    <w:p w14:paraId="23F88FF0" w14:textId="34C9DDDB" w:rsidR="00037C7E" w:rsidRPr="0059083D" w:rsidRDefault="00CA78DD" w:rsidP="00414A88">
      <w:pPr>
        <w:pStyle w:val="StandardCont2"/>
        <w:rPr>
          <w:lang w:val="fr-CA"/>
        </w:rPr>
      </w:pPr>
      <w:r w:rsidRPr="00BE40AC">
        <w:rPr>
          <w:snapToGrid w:val="0"/>
          <w:lang w:val="fr-CA"/>
        </w:rPr>
        <w:t xml:space="preserve">Une modalité de </w:t>
      </w:r>
      <w:r w:rsidR="000B08F2" w:rsidRPr="00BE40AC">
        <w:rPr>
          <w:snapToGrid w:val="0"/>
          <w:lang w:val="fr-CA"/>
        </w:rPr>
        <w:t xml:space="preserve">la présente Convention </w:t>
      </w:r>
      <w:r w:rsidRPr="00BE40AC">
        <w:rPr>
          <w:snapToGrid w:val="0"/>
          <w:lang w:val="fr-CA"/>
        </w:rPr>
        <w:t xml:space="preserve">ne peut être modifiée ou résiliée et le respect d’une modalité </w:t>
      </w:r>
      <w:r w:rsidR="000B08F2" w:rsidRPr="00BE40AC">
        <w:rPr>
          <w:snapToGrid w:val="0"/>
          <w:lang w:val="fr-CA"/>
        </w:rPr>
        <w:t xml:space="preserve">de la présente Convention </w:t>
      </w:r>
      <w:r w:rsidRPr="00BE40AC">
        <w:rPr>
          <w:snapToGrid w:val="0"/>
          <w:lang w:val="fr-CA"/>
        </w:rPr>
        <w:t xml:space="preserve">ne peut faire l’objet d’une renonciation </w:t>
      </w:r>
      <w:r w:rsidR="000B08F2" w:rsidRPr="00BE40AC">
        <w:rPr>
          <w:snapToGrid w:val="0"/>
          <w:lang w:val="fr-CA"/>
        </w:rPr>
        <w:t>(</w:t>
      </w:r>
      <w:r w:rsidRPr="00BE40AC">
        <w:rPr>
          <w:snapToGrid w:val="0"/>
          <w:lang w:val="fr-CA"/>
        </w:rPr>
        <w:t>de façon générale ou dans un cas particulier</w:t>
      </w:r>
      <w:r w:rsidR="000B08F2" w:rsidRPr="00BE40AC">
        <w:rPr>
          <w:snapToGrid w:val="0"/>
          <w:lang w:val="fr-CA"/>
        </w:rPr>
        <w:t xml:space="preserve">, </w:t>
      </w:r>
      <w:r w:rsidRPr="00BE40AC">
        <w:rPr>
          <w:snapToGrid w:val="0"/>
          <w:lang w:val="fr-CA"/>
        </w:rPr>
        <w:t>et de façon rétroactive ou prospective</w:t>
      </w:r>
      <w:r w:rsidR="000B08F2" w:rsidRPr="00BE40AC">
        <w:rPr>
          <w:snapToGrid w:val="0"/>
          <w:lang w:val="fr-CA"/>
        </w:rPr>
        <w:t xml:space="preserve">) </w:t>
      </w:r>
      <w:r w:rsidRPr="00BE40AC">
        <w:rPr>
          <w:snapToGrid w:val="0"/>
          <w:lang w:val="fr-CA"/>
        </w:rPr>
        <w:t xml:space="preserve">qu’avec le consentement écrit </w:t>
      </w:r>
      <w:r w:rsidR="000B08F2" w:rsidRPr="00BE40AC">
        <w:rPr>
          <w:snapToGrid w:val="0"/>
          <w:lang w:val="fr-CA"/>
        </w:rPr>
        <w:t xml:space="preserve">de la Société </w:t>
      </w:r>
      <w:r w:rsidRPr="00BE40AC">
        <w:rPr>
          <w:snapToGrid w:val="0"/>
          <w:lang w:val="fr-CA"/>
        </w:rPr>
        <w:t xml:space="preserve">et des porteurs </w:t>
      </w:r>
      <w:r w:rsidR="000B08F2" w:rsidRPr="00BE40AC">
        <w:rPr>
          <w:snapToGrid w:val="0"/>
          <w:lang w:val="fr-CA"/>
        </w:rPr>
        <w:t>[</w:t>
      </w:r>
      <w:r w:rsidRPr="00BE40AC">
        <w:rPr>
          <w:snapToGrid w:val="0"/>
          <w:lang w:val="fr-CA"/>
        </w:rPr>
        <w:t>d’au moins la majorité</w:t>
      </w:r>
      <w:r w:rsidR="000B08F2" w:rsidRPr="00BE40AC">
        <w:rPr>
          <w:snapToGrid w:val="0"/>
          <w:lang w:val="fr-CA"/>
        </w:rPr>
        <w:t xml:space="preserve">] des </w:t>
      </w:r>
      <w:r w:rsidR="0006561D" w:rsidRPr="00BE40AC">
        <w:rPr>
          <w:snapToGrid w:val="0"/>
          <w:lang w:val="fr-CA"/>
        </w:rPr>
        <w:t>Titres à inscrire</w:t>
      </w:r>
      <w:r w:rsidR="000B08F2" w:rsidRPr="00BE40AC">
        <w:rPr>
          <w:snapToGrid w:val="0"/>
          <w:lang w:val="fr-CA"/>
        </w:rPr>
        <w:t xml:space="preserve"> </w:t>
      </w:r>
      <w:r w:rsidR="002A0F83" w:rsidRPr="00BE40AC">
        <w:rPr>
          <w:snapToGrid w:val="0"/>
          <w:lang w:val="fr-CA"/>
        </w:rPr>
        <w:t>alors en circulation</w:t>
      </w:r>
      <w:r w:rsidR="000B08F2" w:rsidRPr="00BE40AC">
        <w:rPr>
          <w:snapToGrid w:val="0"/>
          <w:lang w:val="fr-CA"/>
        </w:rPr>
        <w:t xml:space="preserve">; </w:t>
      </w:r>
      <w:r w:rsidRPr="00BE40AC">
        <w:rPr>
          <w:snapToGrid w:val="0"/>
          <w:u w:val="single"/>
          <w:lang w:val="fr-CA"/>
        </w:rPr>
        <w:t>il est entendu</w:t>
      </w:r>
      <w:r w:rsidRPr="00BE40AC">
        <w:rPr>
          <w:snapToGrid w:val="0"/>
          <w:lang w:val="fr-CA"/>
        </w:rPr>
        <w:t xml:space="preserve">, </w:t>
      </w:r>
      <w:r w:rsidRPr="00BE40AC">
        <w:rPr>
          <w:snapToGrid w:val="0"/>
          <w:u w:val="single"/>
          <w:lang w:val="fr-CA"/>
        </w:rPr>
        <w:t>toutefois</w:t>
      </w:r>
      <w:r w:rsidRPr="00BE40AC">
        <w:rPr>
          <w:snapToGrid w:val="0"/>
          <w:lang w:val="fr-CA"/>
        </w:rPr>
        <w:t xml:space="preserve">, que </w:t>
      </w:r>
      <w:r w:rsidR="000B08F2" w:rsidRPr="00BE40AC">
        <w:rPr>
          <w:snapToGrid w:val="0"/>
          <w:lang w:val="fr-CA"/>
        </w:rPr>
        <w:t xml:space="preserve">la Société </w:t>
      </w:r>
      <w:r w:rsidRPr="00BE40AC">
        <w:rPr>
          <w:snapToGrid w:val="0"/>
          <w:lang w:val="fr-CA"/>
        </w:rPr>
        <w:t xml:space="preserve">peut </w:t>
      </w:r>
      <w:r w:rsidR="00375C13" w:rsidRPr="00BE40AC">
        <w:rPr>
          <w:snapToGrid w:val="0"/>
          <w:lang w:val="fr-CA"/>
        </w:rPr>
        <w:t xml:space="preserve">renoncer </w:t>
      </w:r>
      <w:r w:rsidRPr="00BE40AC">
        <w:rPr>
          <w:snapToGrid w:val="0"/>
          <w:lang w:val="fr-CA"/>
        </w:rPr>
        <w:t>à sa seule appréciation au respect de l’</w:t>
      </w:r>
      <w:r w:rsidR="0006561D" w:rsidRPr="00BE40AC">
        <w:rPr>
          <w:snapToGrid w:val="0"/>
          <w:u w:val="single"/>
          <w:lang w:val="fr-CA"/>
        </w:rPr>
        <w:t>alinéa </w:t>
      </w:r>
      <w:r w:rsidR="000B08F2" w:rsidRPr="00BE40AC">
        <w:rPr>
          <w:snapToGrid w:val="0"/>
          <w:szCs w:val="16"/>
          <w:u w:val="single"/>
          <w:lang w:val="fr-CA"/>
        </w:rPr>
        <w:fldChar w:fldCharType="begin"/>
      </w:r>
      <w:r w:rsidR="000B08F2" w:rsidRPr="00BE40AC">
        <w:rPr>
          <w:snapToGrid w:val="0"/>
          <w:szCs w:val="16"/>
          <w:u w:val="single"/>
          <w:lang w:val="fr-CA"/>
        </w:rPr>
        <w:instrText xml:space="preserve">  REF _Ref448380591 \w \h \* MERGEFORMAT </w:instrText>
      </w:r>
      <w:r w:rsidR="000B08F2" w:rsidRPr="00BE40AC">
        <w:rPr>
          <w:snapToGrid w:val="0"/>
          <w:szCs w:val="16"/>
          <w:u w:val="single"/>
          <w:lang w:val="fr-CA"/>
        </w:rPr>
      </w:r>
      <w:r w:rsidR="000B08F2" w:rsidRPr="00BE40AC">
        <w:rPr>
          <w:snapToGrid w:val="0"/>
          <w:szCs w:val="16"/>
          <w:u w:val="single"/>
          <w:lang w:val="fr-CA"/>
        </w:rPr>
        <w:fldChar w:fldCharType="separate"/>
      </w:r>
      <w:r w:rsidR="00AE1D96" w:rsidRPr="00AE1D96">
        <w:rPr>
          <w:snapToGrid w:val="0"/>
          <w:color w:val="000000"/>
          <w:szCs w:val="16"/>
          <w:u w:val="single"/>
          <w:lang w:val="fr-CA"/>
        </w:rPr>
        <w:t>2.12c)</w:t>
      </w:r>
      <w:r w:rsidR="000B08F2" w:rsidRPr="00BE40AC">
        <w:rPr>
          <w:snapToGrid w:val="0"/>
          <w:szCs w:val="16"/>
          <w:u w:val="single"/>
          <w:lang w:val="fr-CA"/>
        </w:rPr>
        <w:fldChar w:fldCharType="end"/>
      </w:r>
      <w:r w:rsidR="000B08F2" w:rsidRPr="00BE40AC">
        <w:rPr>
          <w:snapToGrid w:val="0"/>
          <w:lang w:val="fr-CA"/>
        </w:rPr>
        <w:t xml:space="preserve"> (</w:t>
      </w:r>
      <w:r w:rsidRPr="00BE40AC">
        <w:rPr>
          <w:snapToGrid w:val="0"/>
          <w:lang w:val="fr-CA"/>
        </w:rPr>
        <w:t xml:space="preserve">et </w:t>
      </w:r>
      <w:r w:rsidR="004B1865" w:rsidRPr="00BE40AC">
        <w:rPr>
          <w:snapToGrid w:val="0"/>
          <w:lang w:val="fr-CA"/>
        </w:rPr>
        <w:t xml:space="preserve">que </w:t>
      </w:r>
      <w:r w:rsidRPr="00BE40AC">
        <w:rPr>
          <w:snapToGrid w:val="0"/>
          <w:lang w:val="fr-CA"/>
        </w:rPr>
        <w:t xml:space="preserve">l’omission de </w:t>
      </w:r>
      <w:r w:rsidR="000B08F2" w:rsidRPr="00BE40AC">
        <w:rPr>
          <w:snapToGrid w:val="0"/>
          <w:lang w:val="fr-CA"/>
        </w:rPr>
        <w:t>la Société</w:t>
      </w:r>
      <w:r w:rsidRPr="00BE40AC">
        <w:rPr>
          <w:snapToGrid w:val="0"/>
          <w:lang w:val="fr-CA"/>
        </w:rPr>
        <w:t xml:space="preserve"> de manifester son opposition rapidement par écrit à la suite d’un avis de cession proposée prétendument en violation de l’</w:t>
      </w:r>
      <w:r w:rsidR="0006561D" w:rsidRPr="00BE40AC">
        <w:rPr>
          <w:snapToGrid w:val="0"/>
          <w:u w:val="single"/>
          <w:lang w:val="fr-CA"/>
        </w:rPr>
        <w:t>alinéa </w:t>
      </w:r>
      <w:r w:rsidR="000B08F2" w:rsidRPr="00BE40AC">
        <w:rPr>
          <w:snapToGrid w:val="0"/>
          <w:szCs w:val="16"/>
          <w:u w:val="single"/>
          <w:lang w:val="fr-CA"/>
        </w:rPr>
        <w:fldChar w:fldCharType="begin"/>
      </w:r>
      <w:r w:rsidR="000B08F2" w:rsidRPr="00BE40AC">
        <w:rPr>
          <w:snapToGrid w:val="0"/>
          <w:szCs w:val="16"/>
          <w:u w:val="single"/>
          <w:lang w:val="fr-CA"/>
        </w:rPr>
        <w:instrText xml:space="preserve">  REF _Ref448380591 \w \h \* MERGEFORMAT </w:instrText>
      </w:r>
      <w:r w:rsidR="000B08F2" w:rsidRPr="00BE40AC">
        <w:rPr>
          <w:snapToGrid w:val="0"/>
          <w:szCs w:val="16"/>
          <w:u w:val="single"/>
          <w:lang w:val="fr-CA"/>
        </w:rPr>
      </w:r>
      <w:r w:rsidR="000B08F2" w:rsidRPr="00BE40AC">
        <w:rPr>
          <w:snapToGrid w:val="0"/>
          <w:szCs w:val="16"/>
          <w:u w:val="single"/>
          <w:lang w:val="fr-CA"/>
        </w:rPr>
        <w:fldChar w:fldCharType="separate"/>
      </w:r>
      <w:r w:rsidR="00AE1D96" w:rsidRPr="00AE1D96">
        <w:rPr>
          <w:snapToGrid w:val="0"/>
          <w:color w:val="000000"/>
          <w:szCs w:val="16"/>
          <w:u w:val="single"/>
          <w:lang w:val="fr-CA"/>
        </w:rPr>
        <w:t>2.12c)</w:t>
      </w:r>
      <w:r w:rsidR="000B08F2" w:rsidRPr="00BE40AC">
        <w:rPr>
          <w:snapToGrid w:val="0"/>
          <w:szCs w:val="16"/>
          <w:u w:val="single"/>
          <w:lang w:val="fr-CA"/>
        </w:rPr>
        <w:fldChar w:fldCharType="end"/>
      </w:r>
      <w:r w:rsidR="000B08F2" w:rsidRPr="00BE40AC">
        <w:rPr>
          <w:snapToGrid w:val="0"/>
          <w:szCs w:val="16"/>
          <w:lang w:val="fr-CA"/>
        </w:rPr>
        <w:t xml:space="preserve"> </w:t>
      </w:r>
      <w:r w:rsidRPr="00BE40AC">
        <w:rPr>
          <w:snapToGrid w:val="0"/>
          <w:szCs w:val="16"/>
          <w:lang w:val="fr-CA"/>
        </w:rPr>
        <w:t>est réputé</w:t>
      </w:r>
      <w:r w:rsidR="00375C13" w:rsidRPr="00BE40AC">
        <w:rPr>
          <w:snapToGrid w:val="0"/>
          <w:szCs w:val="16"/>
          <w:lang w:val="fr-CA"/>
        </w:rPr>
        <w:t>e</w:t>
      </w:r>
      <w:r w:rsidRPr="00BE40AC">
        <w:rPr>
          <w:snapToGrid w:val="0"/>
          <w:szCs w:val="16"/>
          <w:lang w:val="fr-CA"/>
        </w:rPr>
        <w:t xml:space="preserve"> constituer une renonciation</w:t>
      </w:r>
      <w:r w:rsidR="000B08F2" w:rsidRPr="00BE40AC">
        <w:rPr>
          <w:snapToGrid w:val="0"/>
          <w:szCs w:val="16"/>
          <w:lang w:val="fr-CA"/>
        </w:rPr>
        <w:t xml:space="preserve">); </w:t>
      </w:r>
      <w:r w:rsidRPr="00BE40AC">
        <w:rPr>
          <w:snapToGrid w:val="0"/>
          <w:szCs w:val="16"/>
          <w:lang w:val="fr-CA"/>
        </w:rPr>
        <w:t xml:space="preserve">et </w:t>
      </w:r>
      <w:r w:rsidRPr="00BE40AC">
        <w:rPr>
          <w:snapToGrid w:val="0"/>
          <w:szCs w:val="16"/>
          <w:u w:val="single"/>
          <w:lang w:val="fr-CA"/>
        </w:rPr>
        <w:t>il est entendu</w:t>
      </w:r>
      <w:r w:rsidRPr="00BE40AC">
        <w:rPr>
          <w:snapToGrid w:val="0"/>
          <w:szCs w:val="16"/>
          <w:lang w:val="fr-CA"/>
        </w:rPr>
        <w:t xml:space="preserve">, </w:t>
      </w:r>
      <w:r w:rsidRPr="00BE40AC">
        <w:rPr>
          <w:snapToGrid w:val="0"/>
          <w:szCs w:val="16"/>
          <w:u w:val="single"/>
          <w:lang w:val="fr-CA"/>
        </w:rPr>
        <w:t>en outre</w:t>
      </w:r>
      <w:r w:rsidRPr="00BE40AC">
        <w:rPr>
          <w:snapToGrid w:val="0"/>
          <w:szCs w:val="16"/>
          <w:lang w:val="fr-CA"/>
        </w:rPr>
        <w:t>, qu’une partie renonciatrice peut renoncer à toute disposition des présentes en son propre nom sans le consentement d’une autre partie</w:t>
      </w:r>
      <w:r w:rsidR="000B08F2" w:rsidRPr="00BE40AC">
        <w:rPr>
          <w:snapToGrid w:val="0"/>
          <w:lang w:val="fr-CA"/>
        </w:rPr>
        <w:t xml:space="preserve">. </w:t>
      </w:r>
      <w:r w:rsidR="009677AC" w:rsidRPr="00BE40AC">
        <w:rPr>
          <w:snapToGrid w:val="0"/>
          <w:lang w:val="fr-CA"/>
        </w:rPr>
        <w:t>Malgré ce qui précède</w:t>
      </w:r>
      <w:r w:rsidR="000B08F2" w:rsidRPr="00BE40AC">
        <w:rPr>
          <w:snapToGrid w:val="0"/>
          <w:lang w:val="fr-CA"/>
        </w:rPr>
        <w:t>, a)</w:t>
      </w:r>
      <w:r w:rsidRPr="00BE40AC">
        <w:rPr>
          <w:snapToGrid w:val="0"/>
          <w:lang w:val="fr-CA"/>
        </w:rPr>
        <w:t> </w:t>
      </w:r>
      <w:r w:rsidR="000B08F2" w:rsidRPr="00BE40AC">
        <w:rPr>
          <w:snapToGrid w:val="0"/>
          <w:lang w:val="fr-CA"/>
        </w:rPr>
        <w:t xml:space="preserve">la présente Convention </w:t>
      </w:r>
      <w:r w:rsidRPr="00BE40AC">
        <w:rPr>
          <w:snapToGrid w:val="0"/>
          <w:lang w:val="fr-CA"/>
        </w:rPr>
        <w:t xml:space="preserve">ne peut être modifiée ni résiliée et le respect d’une modalité des présentes ne peut faire l’objet d’une renonciation à l’égard d’un </w:t>
      </w:r>
      <w:r w:rsidR="000F37C7" w:rsidRPr="00BE40AC">
        <w:rPr>
          <w:snapToGrid w:val="0"/>
          <w:lang w:val="fr-CA"/>
        </w:rPr>
        <w:t>Investisseur</w:t>
      </w:r>
      <w:r w:rsidR="000B08F2" w:rsidRPr="00BE40AC">
        <w:rPr>
          <w:snapToGrid w:val="0"/>
          <w:lang w:val="fr-CA"/>
        </w:rPr>
        <w:t xml:space="preserve"> </w:t>
      </w:r>
      <w:r w:rsidRPr="00BE40AC">
        <w:rPr>
          <w:snapToGrid w:val="0"/>
          <w:lang w:val="fr-CA"/>
        </w:rPr>
        <w:t xml:space="preserve">sans le consentement écrit de cet </w:t>
      </w:r>
      <w:r w:rsidR="000F37C7" w:rsidRPr="00BE40AC">
        <w:rPr>
          <w:snapToGrid w:val="0"/>
          <w:lang w:val="fr-CA"/>
        </w:rPr>
        <w:t>Investisseur</w:t>
      </w:r>
      <w:r w:rsidR="000B08F2" w:rsidRPr="00BE40AC">
        <w:rPr>
          <w:snapToGrid w:val="0"/>
          <w:lang w:val="fr-CA"/>
        </w:rPr>
        <w:t xml:space="preserve">, </w:t>
      </w:r>
      <w:r w:rsidRPr="00BE40AC">
        <w:rPr>
          <w:snapToGrid w:val="0"/>
          <w:lang w:val="fr-CA"/>
        </w:rPr>
        <w:t xml:space="preserve">à moins que cette modification, résiliation ou renonciation ne s’applique à tous les </w:t>
      </w:r>
      <w:r w:rsidR="000F37C7" w:rsidRPr="00BE40AC">
        <w:rPr>
          <w:snapToGrid w:val="0"/>
          <w:lang w:val="fr-CA"/>
        </w:rPr>
        <w:t>Investisseurs</w:t>
      </w:r>
      <w:r w:rsidR="000B08F2" w:rsidRPr="00BE40AC">
        <w:rPr>
          <w:snapToGrid w:val="0"/>
          <w:lang w:val="fr-CA"/>
        </w:rPr>
        <w:t xml:space="preserve"> </w:t>
      </w:r>
      <w:r w:rsidRPr="00BE40AC">
        <w:rPr>
          <w:snapToGrid w:val="0"/>
          <w:lang w:val="fr-CA"/>
        </w:rPr>
        <w:t xml:space="preserve">de la même manière </w:t>
      </w:r>
      <w:r w:rsidR="000B08F2" w:rsidRPr="00BE40AC">
        <w:rPr>
          <w:snapToGrid w:val="0"/>
          <w:lang w:val="fr-CA"/>
        </w:rPr>
        <w:t>(</w:t>
      </w:r>
      <w:r w:rsidRPr="00BE40AC">
        <w:rPr>
          <w:snapToGrid w:val="0"/>
          <w:lang w:val="fr-CA"/>
        </w:rPr>
        <w:t>étant convenu qu’un</w:t>
      </w:r>
      <w:r w:rsidR="00375C13" w:rsidRPr="00BE40AC">
        <w:rPr>
          <w:snapToGrid w:val="0"/>
          <w:lang w:val="fr-CA"/>
        </w:rPr>
        <w:t>e</w:t>
      </w:r>
      <w:r w:rsidRPr="00BE40AC">
        <w:rPr>
          <w:snapToGrid w:val="0"/>
          <w:lang w:val="fr-CA"/>
        </w:rPr>
        <w:t xml:space="preserve"> renonciation au respect des dispositions de l’</w:t>
      </w:r>
      <w:r w:rsidR="000A3501" w:rsidRPr="00BE40AC">
        <w:rPr>
          <w:szCs w:val="24"/>
          <w:u w:val="single"/>
          <w:lang w:val="fr-CA"/>
        </w:rPr>
        <w:t>article </w:t>
      </w:r>
      <w:r w:rsidR="000A3501" w:rsidRPr="00BE40AC">
        <w:rPr>
          <w:szCs w:val="24"/>
          <w:u w:val="single"/>
          <w:lang w:val="fr-CA"/>
        </w:rPr>
        <w:fldChar w:fldCharType="begin"/>
      </w:r>
      <w:r w:rsidR="000A3501" w:rsidRPr="00BE40AC">
        <w:rPr>
          <w:szCs w:val="24"/>
          <w:u w:val="single"/>
          <w:lang w:val="fr-CA"/>
        </w:rPr>
        <w:instrText xml:space="preserve"> REF _Ref448380626 \r \h </w:instrText>
      </w:r>
      <w:r w:rsidR="00BE40AC">
        <w:rPr>
          <w:szCs w:val="24"/>
          <w:u w:val="single"/>
          <w:lang w:val="fr-CA"/>
        </w:rPr>
        <w:instrText xml:space="preserve"> \* MERGEFORMAT </w:instrText>
      </w:r>
      <w:r w:rsidR="000A3501" w:rsidRPr="00BE40AC">
        <w:rPr>
          <w:szCs w:val="24"/>
          <w:u w:val="single"/>
          <w:lang w:val="fr-CA"/>
        </w:rPr>
      </w:r>
      <w:r w:rsidR="000A3501" w:rsidRPr="00BE40AC">
        <w:rPr>
          <w:szCs w:val="24"/>
          <w:u w:val="single"/>
          <w:lang w:val="fr-CA"/>
        </w:rPr>
        <w:fldChar w:fldCharType="separate"/>
      </w:r>
      <w:r w:rsidR="00AE1D96">
        <w:rPr>
          <w:szCs w:val="24"/>
          <w:u w:val="single"/>
          <w:lang w:val="fr-CA"/>
        </w:rPr>
        <w:t>4</w:t>
      </w:r>
      <w:r w:rsidR="000A3501" w:rsidRPr="00BE40AC">
        <w:rPr>
          <w:szCs w:val="24"/>
          <w:u w:val="single"/>
          <w:lang w:val="fr-CA"/>
        </w:rPr>
        <w:fldChar w:fldCharType="end"/>
      </w:r>
      <w:r w:rsidR="000B08F2" w:rsidRPr="00BE40AC">
        <w:rPr>
          <w:snapToGrid w:val="0"/>
          <w:lang w:val="fr-CA"/>
        </w:rPr>
        <w:t xml:space="preserve"> </w:t>
      </w:r>
      <w:r w:rsidRPr="00BE40AC">
        <w:rPr>
          <w:snapToGrid w:val="0"/>
          <w:lang w:val="fr-CA"/>
        </w:rPr>
        <w:t xml:space="preserve">à l’égard d’une opération en particulier est réputée s’appliquer à tous les </w:t>
      </w:r>
      <w:r w:rsidR="000F37C7" w:rsidRPr="00BE40AC">
        <w:rPr>
          <w:snapToGrid w:val="0"/>
          <w:lang w:val="fr-CA"/>
        </w:rPr>
        <w:t>Investisseurs</w:t>
      </w:r>
      <w:r w:rsidR="000B08F2" w:rsidRPr="00BE40AC">
        <w:rPr>
          <w:snapToGrid w:val="0"/>
          <w:lang w:val="fr-CA"/>
        </w:rPr>
        <w:t xml:space="preserve"> </w:t>
      </w:r>
      <w:r w:rsidRPr="00BE40AC">
        <w:rPr>
          <w:snapToGrid w:val="0"/>
          <w:lang w:val="fr-CA"/>
        </w:rPr>
        <w:t>de la même manière si elle est formulée en ce sens</w:t>
      </w:r>
      <w:r w:rsidR="000B08F2" w:rsidRPr="00BE40AC">
        <w:rPr>
          <w:snapToGrid w:val="0"/>
          <w:lang w:val="fr-CA"/>
        </w:rPr>
        <w:t xml:space="preserve">, </w:t>
      </w:r>
      <w:r w:rsidRPr="00BE40AC">
        <w:rPr>
          <w:snapToGrid w:val="0"/>
          <w:lang w:val="fr-CA"/>
        </w:rPr>
        <w:t>malgré le fait que certains Investisseurs puissent quand même</w:t>
      </w:r>
      <w:r w:rsidR="004B1865" w:rsidRPr="00BE40AC">
        <w:rPr>
          <w:snapToGrid w:val="0"/>
          <w:lang w:val="fr-CA"/>
        </w:rPr>
        <w:t xml:space="preserve"> acheter des titres dans le cadre de cette opération</w:t>
      </w:r>
      <w:r w:rsidRPr="00BE40AC">
        <w:rPr>
          <w:snapToGrid w:val="0"/>
          <w:lang w:val="fr-CA"/>
        </w:rPr>
        <w:t xml:space="preserve"> avec l’accord de </w:t>
      </w:r>
      <w:r w:rsidR="000B08F2" w:rsidRPr="00BE40AC">
        <w:rPr>
          <w:snapToGrid w:val="0"/>
          <w:lang w:val="fr-CA"/>
        </w:rPr>
        <w:t>la Société</w:t>
      </w:r>
      <w:r w:rsidR="004B1865" w:rsidRPr="00BE40AC">
        <w:rPr>
          <w:rStyle w:val="FootnoteReference"/>
          <w:snapToGrid w:val="0"/>
          <w:lang w:val="fr-CA"/>
        </w:rPr>
        <w:footnoteReference w:id="69"/>
      </w:r>
      <w:r w:rsidR="000B08F2" w:rsidRPr="00BE40AC">
        <w:rPr>
          <w:snapToGrid w:val="0"/>
          <w:lang w:val="fr-CA"/>
        </w:rPr>
        <w:t>)</w:t>
      </w:r>
      <w:r w:rsidR="00CF3B18" w:rsidRPr="00BE40AC">
        <w:rPr>
          <w:snapToGrid w:val="0"/>
          <w:lang w:val="fr-CA"/>
        </w:rPr>
        <w:t>;</w:t>
      </w:r>
      <w:r w:rsidR="00414A88" w:rsidRPr="00BE40AC">
        <w:rPr>
          <w:snapToGrid w:val="0"/>
          <w:lang w:val="fr-CA"/>
        </w:rPr>
        <w:t xml:space="preserve"> </w:t>
      </w:r>
      <w:r w:rsidRPr="00BE40AC">
        <w:rPr>
          <w:snapToGrid w:val="0"/>
          <w:lang w:val="fr-CA"/>
        </w:rPr>
        <w:t>et</w:t>
      </w:r>
      <w:r w:rsidR="00414A88" w:rsidRPr="00BE40AC">
        <w:rPr>
          <w:snapToGrid w:val="0"/>
          <w:lang w:val="fr-CA"/>
        </w:rPr>
        <w:t xml:space="preserve"> b)</w:t>
      </w:r>
      <w:r w:rsidRPr="00BE40AC">
        <w:rPr>
          <w:snapToGrid w:val="0"/>
          <w:lang w:val="fr-CA"/>
        </w:rPr>
        <w:t xml:space="preserve"> les </w:t>
      </w:r>
      <w:r w:rsidRPr="00BE40AC">
        <w:rPr>
          <w:snapToGrid w:val="0"/>
          <w:u w:val="single"/>
          <w:lang w:val="fr-CA"/>
        </w:rPr>
        <w:t>paragraphes </w:t>
      </w:r>
      <w:r w:rsidR="000A3501" w:rsidRPr="00BE40AC">
        <w:rPr>
          <w:snapToGrid w:val="0"/>
          <w:u w:val="single"/>
          <w:lang w:val="fr-CA"/>
        </w:rPr>
        <w:t> </w:t>
      </w:r>
      <w:r w:rsidR="000A3501" w:rsidRPr="00BE40AC">
        <w:rPr>
          <w:u w:val="single"/>
          <w:lang w:val="fr-CA"/>
        </w:rPr>
        <w:fldChar w:fldCharType="begin"/>
      </w:r>
      <w:r w:rsidR="000A3501" w:rsidRPr="00BE40AC">
        <w:rPr>
          <w:u w:val="single"/>
          <w:lang w:val="fr-CA"/>
        </w:rPr>
        <w:instrText xml:space="preserve"> REF _Ref119587812 \w \h </w:instrText>
      </w:r>
      <w:r w:rsidR="00BE40AC">
        <w:rPr>
          <w:u w:val="single"/>
          <w:lang w:val="fr-CA"/>
        </w:rPr>
        <w:instrText xml:space="preserve"> \* MERGEFORMAT </w:instrText>
      </w:r>
      <w:r w:rsidR="000A3501" w:rsidRPr="00BE40AC">
        <w:rPr>
          <w:u w:val="single"/>
          <w:lang w:val="fr-CA"/>
        </w:rPr>
      </w:r>
      <w:r w:rsidR="000A3501" w:rsidRPr="00BE40AC">
        <w:rPr>
          <w:u w:val="single"/>
          <w:lang w:val="fr-CA"/>
        </w:rPr>
        <w:fldChar w:fldCharType="separate"/>
      </w:r>
      <w:r w:rsidR="00AE1D96">
        <w:rPr>
          <w:u w:val="single"/>
          <w:lang w:val="fr-CA"/>
        </w:rPr>
        <w:t>3.1</w:t>
      </w:r>
      <w:r w:rsidR="000A3501" w:rsidRPr="00BE40AC">
        <w:rPr>
          <w:u w:val="single"/>
          <w:lang w:val="fr-CA"/>
        </w:rPr>
        <w:fldChar w:fldCharType="end"/>
      </w:r>
      <w:r w:rsidR="000A3501" w:rsidRPr="00BE40AC">
        <w:rPr>
          <w:u w:val="single"/>
          <w:lang w:val="fr-CA"/>
        </w:rPr>
        <w:t xml:space="preserve"> et</w:t>
      </w:r>
      <w:r w:rsidR="000A3501" w:rsidRPr="00BE40AC">
        <w:rPr>
          <w:snapToGrid w:val="0"/>
          <w:lang w:val="fr-CA"/>
        </w:rPr>
        <w:t xml:space="preserve"> </w:t>
      </w:r>
      <w:r w:rsidR="000A3501" w:rsidRPr="00BE40AC">
        <w:rPr>
          <w:snapToGrid w:val="0"/>
          <w:u w:val="single"/>
          <w:lang w:val="fr-CA"/>
        </w:rPr>
        <w:fldChar w:fldCharType="begin"/>
      </w:r>
      <w:r w:rsidR="000A3501" w:rsidRPr="00BE40AC">
        <w:rPr>
          <w:snapToGrid w:val="0"/>
          <w:u w:val="single"/>
          <w:lang w:val="fr-CA"/>
        </w:rPr>
        <w:instrText xml:space="preserve">  REF _Ref448380622 \w \h \* MERGEFORMAT </w:instrText>
      </w:r>
      <w:r w:rsidR="000A3501" w:rsidRPr="00BE40AC">
        <w:rPr>
          <w:snapToGrid w:val="0"/>
          <w:u w:val="single"/>
          <w:lang w:val="fr-CA"/>
        </w:rPr>
      </w:r>
      <w:r w:rsidR="000A3501" w:rsidRPr="00BE40AC">
        <w:rPr>
          <w:snapToGrid w:val="0"/>
          <w:u w:val="single"/>
          <w:lang w:val="fr-CA"/>
        </w:rPr>
        <w:fldChar w:fldCharType="separate"/>
      </w:r>
      <w:r w:rsidR="00AE1D96" w:rsidRPr="00AE1D96">
        <w:rPr>
          <w:snapToGrid w:val="0"/>
          <w:color w:val="000000"/>
          <w:u w:val="single"/>
          <w:lang w:val="fr-CA"/>
        </w:rPr>
        <w:t>3.2</w:t>
      </w:r>
      <w:r w:rsidR="000A3501" w:rsidRPr="00BE40AC">
        <w:rPr>
          <w:snapToGrid w:val="0"/>
          <w:u w:val="single"/>
          <w:lang w:val="fr-CA"/>
        </w:rPr>
        <w:fldChar w:fldCharType="end"/>
      </w:r>
      <w:r w:rsidR="00414A88" w:rsidRPr="00BE40AC">
        <w:rPr>
          <w:snapToGrid w:val="0"/>
          <w:lang w:val="fr-CA"/>
        </w:rPr>
        <w:t xml:space="preserve">, </w:t>
      </w:r>
      <w:r w:rsidRPr="00BE40AC">
        <w:rPr>
          <w:snapToGrid w:val="0"/>
          <w:lang w:val="fr-CA"/>
        </w:rPr>
        <w:t>l’</w:t>
      </w:r>
      <w:r w:rsidR="000A3501" w:rsidRPr="00BE40AC">
        <w:rPr>
          <w:szCs w:val="24"/>
          <w:u w:val="single"/>
          <w:lang w:val="fr-CA"/>
        </w:rPr>
        <w:t>article </w:t>
      </w:r>
      <w:r w:rsidR="000A3501" w:rsidRPr="00BE40AC">
        <w:rPr>
          <w:szCs w:val="24"/>
          <w:u w:val="single"/>
          <w:lang w:val="fr-CA"/>
        </w:rPr>
        <w:fldChar w:fldCharType="begin"/>
      </w:r>
      <w:r w:rsidR="000A3501" w:rsidRPr="00BE40AC">
        <w:rPr>
          <w:szCs w:val="24"/>
          <w:u w:val="single"/>
          <w:lang w:val="fr-CA"/>
        </w:rPr>
        <w:instrText xml:space="preserve"> REF _Ref448380626 \r \h </w:instrText>
      </w:r>
      <w:r w:rsidR="00BE40AC">
        <w:rPr>
          <w:szCs w:val="24"/>
          <w:u w:val="single"/>
          <w:lang w:val="fr-CA"/>
        </w:rPr>
        <w:instrText xml:space="preserve"> \* MERGEFORMAT </w:instrText>
      </w:r>
      <w:r w:rsidR="000A3501" w:rsidRPr="00BE40AC">
        <w:rPr>
          <w:szCs w:val="24"/>
          <w:u w:val="single"/>
          <w:lang w:val="fr-CA"/>
        </w:rPr>
      </w:r>
      <w:r w:rsidR="000A3501" w:rsidRPr="00BE40AC">
        <w:rPr>
          <w:szCs w:val="24"/>
          <w:u w:val="single"/>
          <w:lang w:val="fr-CA"/>
        </w:rPr>
        <w:fldChar w:fldCharType="separate"/>
      </w:r>
      <w:r w:rsidR="00AE1D96">
        <w:rPr>
          <w:szCs w:val="24"/>
          <w:u w:val="single"/>
          <w:lang w:val="fr-CA"/>
        </w:rPr>
        <w:t>4</w:t>
      </w:r>
      <w:r w:rsidR="000A3501" w:rsidRPr="00BE40AC">
        <w:rPr>
          <w:szCs w:val="24"/>
          <w:u w:val="single"/>
          <w:lang w:val="fr-CA"/>
        </w:rPr>
        <w:fldChar w:fldCharType="end"/>
      </w:r>
      <w:r w:rsidR="00414A88" w:rsidRPr="00BE40AC">
        <w:rPr>
          <w:snapToGrid w:val="0"/>
          <w:lang w:val="fr-CA"/>
        </w:rPr>
        <w:t xml:space="preserve"> </w:t>
      </w:r>
      <w:r w:rsidRPr="00BE40AC">
        <w:rPr>
          <w:snapToGrid w:val="0"/>
          <w:lang w:val="fr-CA"/>
        </w:rPr>
        <w:t>et toute autre</w:t>
      </w:r>
      <w:r w:rsidRPr="009D4254">
        <w:rPr>
          <w:snapToGrid w:val="0"/>
          <w:lang w:val="fr-CA"/>
        </w:rPr>
        <w:t xml:space="preserve"> disposition </w:t>
      </w:r>
      <w:r w:rsidR="000B08F2" w:rsidRPr="009D4254">
        <w:rPr>
          <w:snapToGrid w:val="0"/>
          <w:lang w:val="fr-CA"/>
        </w:rPr>
        <w:t>de la présente Convention</w:t>
      </w:r>
      <w:r w:rsidR="00414A88" w:rsidRPr="009D4254">
        <w:rPr>
          <w:snapToGrid w:val="0"/>
          <w:lang w:val="fr-CA"/>
        </w:rPr>
        <w:t xml:space="preserve"> applicable </w:t>
      </w:r>
      <w:r w:rsidRPr="009D4254">
        <w:rPr>
          <w:snapToGrid w:val="0"/>
          <w:lang w:val="fr-CA"/>
        </w:rPr>
        <w:t xml:space="preserve">aux </w:t>
      </w:r>
      <w:r w:rsidR="006C7CDF" w:rsidRPr="009D4254">
        <w:rPr>
          <w:snapToGrid w:val="0"/>
          <w:lang w:val="fr-CA"/>
        </w:rPr>
        <w:t>Investisseurs importants</w:t>
      </w:r>
      <w:r w:rsidR="00414A88" w:rsidRPr="009D4254">
        <w:rPr>
          <w:snapToGrid w:val="0"/>
          <w:lang w:val="fr-CA"/>
        </w:rPr>
        <w:t xml:space="preserve"> (</w:t>
      </w:r>
      <w:r w:rsidRPr="009D4254">
        <w:rPr>
          <w:snapToGrid w:val="0"/>
          <w:lang w:val="fr-CA"/>
        </w:rPr>
        <w:t>y compris la présente clause </w:t>
      </w:r>
      <w:r w:rsidR="00414A88" w:rsidRPr="00986BEB">
        <w:rPr>
          <w:snapToGrid w:val="0"/>
          <w:lang w:val="fr-CA"/>
        </w:rPr>
        <w:t>b</w:t>
      </w:r>
      <w:r w:rsidR="00414A88" w:rsidRPr="009D4254">
        <w:rPr>
          <w:snapToGrid w:val="0"/>
          <w:lang w:val="fr-CA"/>
        </w:rPr>
        <w:t xml:space="preserve">) </w:t>
      </w:r>
      <w:r w:rsidRPr="009D4254">
        <w:rPr>
          <w:snapToGrid w:val="0"/>
          <w:lang w:val="fr-CA"/>
        </w:rPr>
        <w:t xml:space="preserve">du </w:t>
      </w:r>
      <w:r w:rsidR="0059083D" w:rsidRPr="009D4254">
        <w:rPr>
          <w:snapToGrid w:val="0"/>
          <w:lang w:val="fr-CA"/>
        </w:rPr>
        <w:t>présent</w:t>
      </w:r>
      <w:r w:rsidR="00414A88" w:rsidRPr="009D4254">
        <w:rPr>
          <w:snapToGrid w:val="0"/>
          <w:lang w:val="fr-CA"/>
        </w:rPr>
        <w:t xml:space="preserve"> </w:t>
      </w:r>
      <w:r w:rsidR="0006561D" w:rsidRPr="009D4254">
        <w:rPr>
          <w:snapToGrid w:val="0"/>
          <w:u w:val="single"/>
          <w:lang w:val="fr-CA"/>
        </w:rPr>
        <w:t>paragraphe </w:t>
      </w:r>
      <w:r w:rsidR="00375C13" w:rsidRPr="00986BEB">
        <w:rPr>
          <w:snapToGrid w:val="0"/>
          <w:u w:val="single"/>
          <w:lang w:val="fr-CA"/>
        </w:rPr>
        <w:fldChar w:fldCharType="begin"/>
      </w:r>
      <w:r w:rsidR="00375C13" w:rsidRPr="00986BEB">
        <w:rPr>
          <w:snapToGrid w:val="0"/>
          <w:u w:val="single"/>
          <w:lang w:val="fr-CA"/>
        </w:rPr>
        <w:instrText xml:space="preserve">  REF _Ref448380664 \w \h \* MERGEFORMAT </w:instrText>
      </w:r>
      <w:r w:rsidR="00375C13" w:rsidRPr="00986BEB">
        <w:rPr>
          <w:snapToGrid w:val="0"/>
          <w:u w:val="single"/>
          <w:lang w:val="fr-CA"/>
        </w:rPr>
      </w:r>
      <w:r w:rsidR="00375C13" w:rsidRPr="00986BEB">
        <w:rPr>
          <w:snapToGrid w:val="0"/>
          <w:u w:val="single"/>
          <w:lang w:val="fr-CA"/>
        </w:rPr>
        <w:fldChar w:fldCharType="separate"/>
      </w:r>
      <w:r w:rsidR="00AE1D96" w:rsidRPr="00AE1D96">
        <w:rPr>
          <w:snapToGrid w:val="0"/>
          <w:color w:val="000000"/>
          <w:u w:val="single"/>
          <w:lang w:val="fr-CA"/>
        </w:rPr>
        <w:t>6.6</w:t>
      </w:r>
      <w:r w:rsidR="00375C13" w:rsidRPr="00986BEB">
        <w:rPr>
          <w:snapToGrid w:val="0"/>
          <w:u w:val="single"/>
          <w:lang w:val="fr-CA"/>
        </w:rPr>
        <w:fldChar w:fldCharType="end"/>
      </w:r>
      <w:r w:rsidR="00414A88" w:rsidRPr="009D4254">
        <w:rPr>
          <w:snapToGrid w:val="0"/>
          <w:lang w:val="fr-CA"/>
        </w:rPr>
        <w:t xml:space="preserve">) </w:t>
      </w:r>
      <w:r w:rsidRPr="009D4254">
        <w:rPr>
          <w:snapToGrid w:val="0"/>
          <w:lang w:val="fr-CA"/>
        </w:rPr>
        <w:t xml:space="preserve">ne peuvent être modifiés ou résiliés ou faire l’objet d’une renonciation qu’avec le consentement écrit </w:t>
      </w:r>
      <w:r w:rsidR="000B08F2" w:rsidRPr="009D4254">
        <w:rPr>
          <w:snapToGrid w:val="0"/>
          <w:lang w:val="fr-CA"/>
        </w:rPr>
        <w:t>de la Société</w:t>
      </w:r>
      <w:r w:rsidR="00414A88" w:rsidRPr="009D4254">
        <w:rPr>
          <w:snapToGrid w:val="0"/>
          <w:lang w:val="fr-CA"/>
        </w:rPr>
        <w:t xml:space="preserve"> </w:t>
      </w:r>
      <w:r w:rsidRPr="009D4254">
        <w:rPr>
          <w:snapToGrid w:val="0"/>
          <w:lang w:val="fr-CA"/>
        </w:rPr>
        <w:t xml:space="preserve">et des porteurs </w:t>
      </w:r>
      <w:r w:rsidR="00414A88" w:rsidRPr="009D4254">
        <w:rPr>
          <w:snapToGrid w:val="0"/>
          <w:lang w:val="fr-CA"/>
        </w:rPr>
        <w:t>[</w:t>
      </w:r>
      <w:r w:rsidRPr="009D4254">
        <w:rPr>
          <w:snapToGrid w:val="0"/>
          <w:lang w:val="fr-CA"/>
        </w:rPr>
        <w:t>de / d’au moins</w:t>
      </w:r>
      <w:r w:rsidR="00414A88" w:rsidRPr="009D4254">
        <w:rPr>
          <w:snapToGrid w:val="0"/>
          <w:lang w:val="fr-CA"/>
        </w:rPr>
        <w:t>] [</w:t>
      </w:r>
      <w:r w:rsidRPr="009D4254">
        <w:rPr>
          <w:snapToGrid w:val="0"/>
          <w:lang w:val="fr-CA"/>
        </w:rPr>
        <w:t>la majorité</w:t>
      </w:r>
      <w:r w:rsidR="00414A88" w:rsidRPr="009D4254">
        <w:rPr>
          <w:snapToGrid w:val="0"/>
          <w:lang w:val="fr-CA"/>
        </w:rPr>
        <w:t xml:space="preserve">] </w:t>
      </w:r>
      <w:r w:rsidR="000B08F2" w:rsidRPr="009D4254">
        <w:rPr>
          <w:snapToGrid w:val="0"/>
          <w:lang w:val="fr-CA"/>
        </w:rPr>
        <w:t xml:space="preserve">des </w:t>
      </w:r>
      <w:r w:rsidR="0006561D" w:rsidRPr="009D4254">
        <w:rPr>
          <w:snapToGrid w:val="0"/>
          <w:lang w:val="fr-CA"/>
        </w:rPr>
        <w:t>Titres à inscrire</w:t>
      </w:r>
      <w:r w:rsidR="00414A88" w:rsidRPr="009D4254">
        <w:rPr>
          <w:snapToGrid w:val="0"/>
          <w:lang w:val="fr-CA"/>
        </w:rPr>
        <w:t xml:space="preserve"> </w:t>
      </w:r>
      <w:r w:rsidR="002A0F83" w:rsidRPr="009D4254">
        <w:rPr>
          <w:snapToGrid w:val="0"/>
          <w:lang w:val="fr-CA"/>
        </w:rPr>
        <w:t>alors en circulation</w:t>
      </w:r>
      <w:r w:rsidR="00414A88" w:rsidRPr="009D4254">
        <w:rPr>
          <w:snapToGrid w:val="0"/>
          <w:lang w:val="fr-CA"/>
        </w:rPr>
        <w:t xml:space="preserve"> </w:t>
      </w:r>
      <w:r w:rsidRPr="009D4254">
        <w:rPr>
          <w:snapToGrid w:val="0"/>
          <w:lang w:val="fr-CA"/>
        </w:rPr>
        <w:t xml:space="preserve">et détenus par les </w:t>
      </w:r>
      <w:r w:rsidR="006C7CDF" w:rsidRPr="009D4254">
        <w:rPr>
          <w:snapToGrid w:val="0"/>
          <w:lang w:val="fr-CA"/>
        </w:rPr>
        <w:t>Investisseurs importants</w:t>
      </w:r>
      <w:r w:rsidR="00414A88" w:rsidRPr="009D4254">
        <w:rPr>
          <w:snapToGrid w:val="0"/>
          <w:lang w:val="fr-CA"/>
        </w:rPr>
        <w:t>.</w:t>
      </w:r>
      <w:r w:rsidR="00414A88" w:rsidRPr="0059083D">
        <w:rPr>
          <w:snapToGrid w:val="0"/>
          <w:lang w:val="fr-CA"/>
        </w:rPr>
        <w:t xml:space="preserve"> [</w:t>
      </w:r>
      <w:r>
        <w:rPr>
          <w:snapToGrid w:val="0"/>
          <w:lang w:val="fr-CA"/>
        </w:rPr>
        <w:t>De plus</w:t>
      </w:r>
      <w:r w:rsidR="00414A88" w:rsidRPr="0059083D">
        <w:rPr>
          <w:snapToGrid w:val="0"/>
          <w:lang w:val="fr-CA"/>
        </w:rPr>
        <w:t xml:space="preserve">, </w:t>
      </w:r>
      <w:r w:rsidR="000B08F2" w:rsidRPr="0059083D">
        <w:rPr>
          <w:snapToGrid w:val="0"/>
          <w:lang w:val="fr-CA"/>
        </w:rPr>
        <w:t>la présente Convention</w:t>
      </w:r>
      <w:r w:rsidR="00414A88" w:rsidRPr="0059083D">
        <w:rPr>
          <w:snapToGrid w:val="0"/>
          <w:lang w:val="fr-CA"/>
        </w:rPr>
        <w:t xml:space="preserve"> </w:t>
      </w:r>
      <w:r>
        <w:rPr>
          <w:snapToGrid w:val="0"/>
          <w:lang w:val="fr-CA"/>
        </w:rPr>
        <w:t>ne peut être modifiée ni résiliée et aucune disposition des présentes ne peut faire l’objet d’une renonciation</w:t>
      </w:r>
      <w:r w:rsidR="00414A88" w:rsidRPr="0059083D">
        <w:rPr>
          <w:snapToGrid w:val="0"/>
          <w:lang w:val="fr-CA"/>
        </w:rPr>
        <w:t xml:space="preserve">, </w:t>
      </w:r>
      <w:r>
        <w:rPr>
          <w:snapToGrid w:val="0"/>
          <w:lang w:val="fr-CA"/>
        </w:rPr>
        <w:t>dans chaque cas, d’une manière qui aurait un effet défavorable disproportionné sur les droits d</w:t>
      </w:r>
      <w:r w:rsidR="00E426A8" w:rsidRPr="0059083D">
        <w:rPr>
          <w:snapToGrid w:val="0"/>
          <w:lang w:val="fr-CA"/>
        </w:rPr>
        <w:t>es Porteurs clés</w:t>
      </w:r>
      <w:r w:rsidR="00414A88" w:rsidRPr="0059083D">
        <w:rPr>
          <w:snapToGrid w:val="0"/>
          <w:lang w:val="fr-CA"/>
        </w:rPr>
        <w:t xml:space="preserve"> </w:t>
      </w:r>
      <w:r>
        <w:rPr>
          <w:snapToGrid w:val="0"/>
          <w:lang w:val="fr-CA"/>
        </w:rPr>
        <w:t xml:space="preserve">aux termes des présentes comparativement à l’effet défavorable que cette modification, résiliation ou renonciation aurait sur les droits des </w:t>
      </w:r>
      <w:r w:rsidR="000B08F2" w:rsidRPr="0059083D">
        <w:rPr>
          <w:snapToGrid w:val="0"/>
          <w:lang w:val="fr-CA"/>
        </w:rPr>
        <w:t>Investisseurs</w:t>
      </w:r>
      <w:r w:rsidR="00414A88" w:rsidRPr="0059083D">
        <w:rPr>
          <w:snapToGrid w:val="0"/>
          <w:lang w:val="fr-CA"/>
        </w:rPr>
        <w:t xml:space="preserve"> </w:t>
      </w:r>
      <w:r>
        <w:rPr>
          <w:snapToGrid w:val="0"/>
          <w:lang w:val="fr-CA"/>
        </w:rPr>
        <w:t xml:space="preserve">aux termes des présentes, sans le consentement écrit des porteurs d’au moins la majorité </w:t>
      </w:r>
      <w:r w:rsidR="000B08F2" w:rsidRPr="0059083D">
        <w:rPr>
          <w:snapToGrid w:val="0"/>
          <w:lang w:val="fr-CA"/>
        </w:rPr>
        <w:t xml:space="preserve">des </w:t>
      </w:r>
      <w:r w:rsidR="0006561D" w:rsidRPr="0059083D">
        <w:rPr>
          <w:snapToGrid w:val="0"/>
          <w:lang w:val="fr-CA"/>
        </w:rPr>
        <w:t>Titres à inscrire</w:t>
      </w:r>
      <w:r w:rsidR="00414A88" w:rsidRPr="0059083D">
        <w:rPr>
          <w:snapToGrid w:val="0"/>
          <w:lang w:val="fr-CA"/>
        </w:rPr>
        <w:t xml:space="preserve"> </w:t>
      </w:r>
      <w:r>
        <w:rPr>
          <w:snapToGrid w:val="0"/>
          <w:lang w:val="fr-CA"/>
        </w:rPr>
        <w:t xml:space="preserve">détenus par </w:t>
      </w:r>
      <w:r w:rsidR="00E426A8" w:rsidRPr="0059083D">
        <w:rPr>
          <w:snapToGrid w:val="0"/>
          <w:lang w:val="fr-CA"/>
        </w:rPr>
        <w:t>les Porteurs clés</w:t>
      </w:r>
      <w:r w:rsidR="00414A88" w:rsidRPr="0059083D">
        <w:rPr>
          <w:snapToGrid w:val="0"/>
          <w:lang w:val="fr-CA"/>
        </w:rPr>
        <w:t xml:space="preserve">.] </w:t>
      </w:r>
      <w:r w:rsidR="009677AC" w:rsidRPr="0059083D">
        <w:rPr>
          <w:snapToGrid w:val="0"/>
          <w:lang w:val="fr-CA"/>
        </w:rPr>
        <w:t>Malgré ce qui précède</w:t>
      </w:r>
      <w:r w:rsidR="00414A88" w:rsidRPr="0059083D">
        <w:rPr>
          <w:snapToGrid w:val="0"/>
          <w:lang w:val="fr-CA"/>
        </w:rPr>
        <w:t xml:space="preserve">, </w:t>
      </w:r>
      <w:r>
        <w:rPr>
          <w:snapToGrid w:val="0"/>
          <w:lang w:val="fr-CA"/>
        </w:rPr>
        <w:t>la Société peut modifier l’Annexe </w:t>
      </w:r>
      <w:r w:rsidR="00414A88" w:rsidRPr="0059083D">
        <w:rPr>
          <w:snapToGrid w:val="0"/>
          <w:lang w:val="fr-CA"/>
        </w:rPr>
        <w:t xml:space="preserve">A </w:t>
      </w:r>
      <w:r>
        <w:rPr>
          <w:snapToGrid w:val="0"/>
          <w:lang w:val="fr-CA"/>
        </w:rPr>
        <w:t xml:space="preserve">des présentes à l’occasion pour ajouter des cessionnaires de </w:t>
      </w:r>
      <w:r w:rsidR="0006561D" w:rsidRPr="0059083D">
        <w:rPr>
          <w:snapToGrid w:val="0"/>
          <w:lang w:val="fr-CA"/>
        </w:rPr>
        <w:t>Titres à inscrire</w:t>
      </w:r>
      <w:r w:rsidR="00414A88" w:rsidRPr="0059083D">
        <w:rPr>
          <w:snapToGrid w:val="0"/>
          <w:lang w:val="fr-CA"/>
        </w:rPr>
        <w:t xml:space="preserve"> </w:t>
      </w:r>
      <w:r>
        <w:rPr>
          <w:snapToGrid w:val="0"/>
          <w:lang w:val="fr-CA"/>
        </w:rPr>
        <w:t xml:space="preserve">conformément aux modalités de </w:t>
      </w:r>
      <w:r w:rsidR="000B08F2" w:rsidRPr="0059083D">
        <w:rPr>
          <w:snapToGrid w:val="0"/>
          <w:lang w:val="fr-CA"/>
        </w:rPr>
        <w:t>la présente Convention</w:t>
      </w:r>
      <w:r w:rsidR="00414A88" w:rsidRPr="0059083D">
        <w:rPr>
          <w:snapToGrid w:val="0"/>
          <w:lang w:val="fr-CA"/>
        </w:rPr>
        <w:t xml:space="preserve"> </w:t>
      </w:r>
      <w:r>
        <w:rPr>
          <w:snapToGrid w:val="0"/>
          <w:lang w:val="fr-CA"/>
        </w:rPr>
        <w:t xml:space="preserve">sans le consentement des autres </w:t>
      </w:r>
      <w:r w:rsidR="00414A88" w:rsidRPr="0059083D">
        <w:rPr>
          <w:snapToGrid w:val="0"/>
          <w:lang w:val="fr-CA"/>
        </w:rPr>
        <w:t>parties</w:t>
      </w:r>
      <w:r w:rsidR="000A3501">
        <w:rPr>
          <w:snapToGrid w:val="0"/>
          <w:lang w:val="fr-CA"/>
        </w:rPr>
        <w:t xml:space="preserve">, et </w:t>
      </w:r>
      <w:r>
        <w:rPr>
          <w:snapToGrid w:val="0"/>
          <w:lang w:val="fr-CA"/>
        </w:rPr>
        <w:t xml:space="preserve">la Société peut également modifier l’Annexe A des présentes après la </w:t>
      </w:r>
      <w:r w:rsidR="00414A88" w:rsidRPr="0059083D">
        <w:rPr>
          <w:snapToGrid w:val="0"/>
          <w:lang w:val="fr-CA"/>
        </w:rPr>
        <w:t>date</w:t>
      </w:r>
      <w:r w:rsidR="000B08F2" w:rsidRPr="0059083D">
        <w:rPr>
          <w:snapToGrid w:val="0"/>
          <w:lang w:val="fr-CA"/>
        </w:rPr>
        <w:t xml:space="preserve"> de la présente Convention</w:t>
      </w:r>
      <w:r w:rsidR="00414A88" w:rsidRPr="0059083D">
        <w:rPr>
          <w:snapToGrid w:val="0"/>
          <w:lang w:val="fr-CA"/>
        </w:rPr>
        <w:t xml:space="preserve"> </w:t>
      </w:r>
      <w:r>
        <w:rPr>
          <w:snapToGrid w:val="0"/>
          <w:lang w:val="fr-CA"/>
        </w:rPr>
        <w:t xml:space="preserve">sans le consentement des autres parties </w:t>
      </w:r>
      <w:r w:rsidR="00CF3B18">
        <w:rPr>
          <w:snapToGrid w:val="0"/>
          <w:lang w:val="fr-CA"/>
        </w:rPr>
        <w:t xml:space="preserve">pour </w:t>
      </w:r>
      <w:r>
        <w:rPr>
          <w:snapToGrid w:val="0"/>
          <w:lang w:val="fr-CA"/>
        </w:rPr>
        <w:t xml:space="preserve">ajouter des renseignements au sujet de tout </w:t>
      </w:r>
      <w:r w:rsidR="000F37C7" w:rsidRPr="0059083D">
        <w:rPr>
          <w:snapToGrid w:val="0"/>
          <w:lang w:val="fr-CA"/>
        </w:rPr>
        <w:t>Investisseur</w:t>
      </w:r>
      <w:r w:rsidR="00414A88" w:rsidRPr="0059083D">
        <w:rPr>
          <w:snapToGrid w:val="0"/>
          <w:lang w:val="fr-CA"/>
        </w:rPr>
        <w:t xml:space="preserve"> </w:t>
      </w:r>
      <w:r>
        <w:rPr>
          <w:snapToGrid w:val="0"/>
          <w:lang w:val="fr-CA"/>
        </w:rPr>
        <w:t xml:space="preserve">supplémentaire qui devient partie à </w:t>
      </w:r>
      <w:r w:rsidR="000B08F2" w:rsidRPr="0059083D">
        <w:rPr>
          <w:snapToGrid w:val="0"/>
          <w:lang w:val="fr-CA"/>
        </w:rPr>
        <w:t>la présente Convention</w:t>
      </w:r>
      <w:r w:rsidR="00414A88" w:rsidRPr="0059083D">
        <w:rPr>
          <w:snapToGrid w:val="0"/>
          <w:lang w:val="fr-CA"/>
        </w:rPr>
        <w:t xml:space="preserve"> </w:t>
      </w:r>
      <w:r>
        <w:rPr>
          <w:snapToGrid w:val="0"/>
          <w:lang w:val="fr-CA"/>
        </w:rPr>
        <w:t xml:space="preserve">conformément au </w:t>
      </w:r>
      <w:r w:rsidR="002A0F83" w:rsidRPr="0059083D">
        <w:rPr>
          <w:snapToGrid w:val="0"/>
          <w:u w:val="single"/>
          <w:lang w:val="fr-CA"/>
        </w:rPr>
        <w:t>paragraphe </w:t>
      </w:r>
      <w:r w:rsidR="00375C13" w:rsidRPr="00986BEB">
        <w:rPr>
          <w:snapToGrid w:val="0"/>
          <w:szCs w:val="16"/>
          <w:u w:val="single"/>
          <w:lang w:val="fr-CA"/>
        </w:rPr>
        <w:fldChar w:fldCharType="begin"/>
      </w:r>
      <w:r w:rsidR="00375C13" w:rsidRPr="00986BEB">
        <w:rPr>
          <w:snapToGrid w:val="0"/>
          <w:szCs w:val="16"/>
          <w:u w:val="single"/>
          <w:lang w:val="fr-CA"/>
        </w:rPr>
        <w:instrText xml:space="preserve"> REF _Ref118377528 \r \h </w:instrText>
      </w:r>
      <w:r w:rsidR="00375C13" w:rsidRPr="00986BEB">
        <w:rPr>
          <w:snapToGrid w:val="0"/>
          <w:szCs w:val="16"/>
          <w:u w:val="single"/>
          <w:lang w:val="fr-CA"/>
        </w:rPr>
      </w:r>
      <w:r w:rsidR="00375C13" w:rsidRPr="00986BEB">
        <w:rPr>
          <w:snapToGrid w:val="0"/>
          <w:szCs w:val="16"/>
          <w:u w:val="single"/>
          <w:lang w:val="fr-CA"/>
        </w:rPr>
        <w:fldChar w:fldCharType="separate"/>
      </w:r>
      <w:r w:rsidR="00AE1D96">
        <w:rPr>
          <w:snapToGrid w:val="0"/>
          <w:szCs w:val="16"/>
          <w:u w:val="single"/>
          <w:lang w:val="fr-CA"/>
        </w:rPr>
        <w:t>6.9</w:t>
      </w:r>
      <w:r w:rsidR="00375C13" w:rsidRPr="00986BEB">
        <w:rPr>
          <w:snapToGrid w:val="0"/>
          <w:szCs w:val="16"/>
          <w:u w:val="single"/>
          <w:lang w:val="fr-CA"/>
        </w:rPr>
        <w:fldChar w:fldCharType="end"/>
      </w:r>
      <w:r w:rsidR="000B08F2" w:rsidRPr="0059083D">
        <w:rPr>
          <w:snapToGrid w:val="0"/>
          <w:lang w:val="fr-CA"/>
        </w:rPr>
        <w:t xml:space="preserve">. </w:t>
      </w:r>
      <w:r w:rsidR="000B08F2" w:rsidRPr="009D4254">
        <w:rPr>
          <w:snapToGrid w:val="0"/>
          <w:lang w:val="fr-CA"/>
        </w:rPr>
        <w:t xml:space="preserve">La Société </w:t>
      </w:r>
      <w:r w:rsidRPr="009D4254">
        <w:rPr>
          <w:snapToGrid w:val="0"/>
          <w:lang w:val="fr-CA"/>
        </w:rPr>
        <w:t xml:space="preserve">remet </w:t>
      </w:r>
      <w:r w:rsidR="00CF3B18">
        <w:rPr>
          <w:snapToGrid w:val="0"/>
          <w:lang w:val="fr-CA"/>
        </w:rPr>
        <w:t>dans les meilleurs délais</w:t>
      </w:r>
      <w:r w:rsidRPr="009D4254">
        <w:rPr>
          <w:snapToGrid w:val="0"/>
          <w:lang w:val="fr-CA"/>
        </w:rPr>
        <w:t xml:space="preserve"> un avis de toute modification ou résiliation des présentes ou de toute renonciation aux termes des présentes à toute partie aux présentes qui n’a pas consenti par écrit à cette modification, résiliation ou renonciation</w:t>
      </w:r>
      <w:r w:rsidR="000B08F2" w:rsidRPr="009D4254">
        <w:rPr>
          <w:snapToGrid w:val="0"/>
          <w:lang w:val="fr-CA"/>
        </w:rPr>
        <w:t>.</w:t>
      </w:r>
      <w:r w:rsidR="000B08F2" w:rsidRPr="0059083D">
        <w:rPr>
          <w:snapToGrid w:val="0"/>
          <w:lang w:val="fr-CA"/>
        </w:rPr>
        <w:t xml:space="preserve"> </w:t>
      </w:r>
      <w:r w:rsidR="006C3355">
        <w:rPr>
          <w:snapToGrid w:val="0"/>
          <w:lang w:val="fr-CA"/>
        </w:rPr>
        <w:t>Une</w:t>
      </w:r>
      <w:r>
        <w:rPr>
          <w:snapToGrid w:val="0"/>
          <w:lang w:val="fr-CA"/>
        </w:rPr>
        <w:t xml:space="preserve"> modification, </w:t>
      </w:r>
      <w:r w:rsidR="006C3355">
        <w:rPr>
          <w:snapToGrid w:val="0"/>
          <w:lang w:val="fr-CA"/>
        </w:rPr>
        <w:t xml:space="preserve">une </w:t>
      </w:r>
      <w:r>
        <w:rPr>
          <w:snapToGrid w:val="0"/>
          <w:lang w:val="fr-CA"/>
        </w:rPr>
        <w:t xml:space="preserve">résiliation ou </w:t>
      </w:r>
      <w:r w:rsidR="006C3355">
        <w:rPr>
          <w:snapToGrid w:val="0"/>
          <w:lang w:val="fr-CA"/>
        </w:rPr>
        <w:t xml:space="preserve">une </w:t>
      </w:r>
      <w:r>
        <w:rPr>
          <w:snapToGrid w:val="0"/>
          <w:lang w:val="fr-CA"/>
        </w:rPr>
        <w:t xml:space="preserve">renonciation </w:t>
      </w:r>
      <w:r w:rsidRPr="009D4254">
        <w:rPr>
          <w:snapToGrid w:val="0"/>
          <w:lang w:val="fr-CA"/>
        </w:rPr>
        <w:t xml:space="preserve">effectuée conformément au </w:t>
      </w:r>
      <w:r w:rsidR="0059083D" w:rsidRPr="009D4254">
        <w:rPr>
          <w:snapToGrid w:val="0"/>
          <w:lang w:val="fr-CA"/>
        </w:rPr>
        <w:t>présent</w:t>
      </w:r>
      <w:r w:rsidR="000B08F2" w:rsidRPr="009D4254">
        <w:rPr>
          <w:snapToGrid w:val="0"/>
          <w:lang w:val="fr-CA"/>
        </w:rPr>
        <w:t xml:space="preserve"> </w:t>
      </w:r>
      <w:r w:rsidR="002A0F83" w:rsidRPr="009D4254">
        <w:rPr>
          <w:snapToGrid w:val="0"/>
          <w:u w:val="single"/>
          <w:lang w:val="fr-CA"/>
        </w:rPr>
        <w:t>paragraphe </w:t>
      </w:r>
      <w:r w:rsidR="000B08F2" w:rsidRPr="00986BEB">
        <w:rPr>
          <w:snapToGrid w:val="0"/>
          <w:u w:val="single"/>
          <w:lang w:val="fr-CA"/>
        </w:rPr>
        <w:fldChar w:fldCharType="begin"/>
      </w:r>
      <w:r w:rsidR="000B08F2" w:rsidRPr="00986BEB">
        <w:rPr>
          <w:snapToGrid w:val="0"/>
          <w:u w:val="single"/>
          <w:lang w:val="fr-CA"/>
        </w:rPr>
        <w:instrText xml:space="preserve">  REF _Ref448380664 \w \h \* MERGEFORMAT </w:instrText>
      </w:r>
      <w:r w:rsidR="000B08F2" w:rsidRPr="00986BEB">
        <w:rPr>
          <w:snapToGrid w:val="0"/>
          <w:u w:val="single"/>
          <w:lang w:val="fr-CA"/>
        </w:rPr>
      </w:r>
      <w:r w:rsidR="000B08F2" w:rsidRPr="00986BEB">
        <w:rPr>
          <w:snapToGrid w:val="0"/>
          <w:u w:val="single"/>
          <w:lang w:val="fr-CA"/>
        </w:rPr>
        <w:fldChar w:fldCharType="separate"/>
      </w:r>
      <w:r w:rsidR="00AE1D96" w:rsidRPr="00AE1D96">
        <w:rPr>
          <w:snapToGrid w:val="0"/>
          <w:color w:val="000000"/>
          <w:u w:val="single"/>
          <w:lang w:val="fr-CA"/>
        </w:rPr>
        <w:t>6.6</w:t>
      </w:r>
      <w:r w:rsidR="000B08F2" w:rsidRPr="00986BEB">
        <w:rPr>
          <w:snapToGrid w:val="0"/>
          <w:u w:val="single"/>
          <w:lang w:val="fr-CA"/>
        </w:rPr>
        <w:fldChar w:fldCharType="end"/>
      </w:r>
      <w:r w:rsidR="000B08F2" w:rsidRPr="009D4254">
        <w:rPr>
          <w:snapToGrid w:val="0"/>
          <w:lang w:val="fr-CA"/>
        </w:rPr>
        <w:t xml:space="preserve"> </w:t>
      </w:r>
      <w:r w:rsidRPr="009D4254">
        <w:rPr>
          <w:snapToGrid w:val="0"/>
          <w:lang w:val="fr-CA"/>
        </w:rPr>
        <w:t>lie toutes les parties aux présentes</w:t>
      </w:r>
      <w:r w:rsidR="000B08F2" w:rsidRPr="009D4254">
        <w:rPr>
          <w:snapToGrid w:val="0"/>
          <w:lang w:val="fr-CA"/>
        </w:rPr>
        <w:t xml:space="preserve">, </w:t>
      </w:r>
      <w:r w:rsidRPr="009D4254">
        <w:rPr>
          <w:snapToGrid w:val="0"/>
          <w:lang w:val="fr-CA"/>
        </w:rPr>
        <w:t>que ces parties y aient consenti ou non.</w:t>
      </w:r>
      <w:r w:rsidR="000B08F2" w:rsidRPr="0059083D">
        <w:rPr>
          <w:snapToGrid w:val="0"/>
          <w:lang w:val="fr-CA"/>
        </w:rPr>
        <w:t xml:space="preserve"> </w:t>
      </w:r>
      <w:r>
        <w:rPr>
          <w:snapToGrid w:val="0"/>
          <w:lang w:val="fr-CA"/>
        </w:rPr>
        <w:t xml:space="preserve">Une renonciation ou une dérogation à une modalité, à une condition ou à une disposition </w:t>
      </w:r>
      <w:r w:rsidR="000B08F2" w:rsidRPr="009D4254">
        <w:rPr>
          <w:snapToGrid w:val="0"/>
          <w:lang w:val="fr-CA"/>
        </w:rPr>
        <w:t xml:space="preserve">de la présente Convention </w:t>
      </w:r>
      <w:r w:rsidR="006C3355">
        <w:rPr>
          <w:snapToGrid w:val="0"/>
          <w:lang w:val="fr-CA"/>
        </w:rPr>
        <w:t>qui survient à</w:t>
      </w:r>
      <w:r w:rsidRPr="009D4254">
        <w:rPr>
          <w:snapToGrid w:val="0"/>
          <w:lang w:val="fr-CA"/>
        </w:rPr>
        <w:t xml:space="preserve"> un</w:t>
      </w:r>
      <w:r w:rsidR="006C3355">
        <w:rPr>
          <w:snapToGrid w:val="0"/>
          <w:lang w:val="fr-CA"/>
        </w:rPr>
        <w:t>e</w:t>
      </w:r>
      <w:r w:rsidR="0028621E">
        <w:rPr>
          <w:snapToGrid w:val="0"/>
          <w:lang w:val="fr-CA"/>
        </w:rPr>
        <w:t> </w:t>
      </w:r>
      <w:r w:rsidR="000B08F2" w:rsidRPr="009D4254">
        <w:rPr>
          <w:snapToGrid w:val="0"/>
          <w:lang w:val="fr-CA"/>
        </w:rPr>
        <w:t>(</w:t>
      </w:r>
      <w:r w:rsidR="000B08F2" w:rsidRPr="00986BEB">
        <w:rPr>
          <w:snapToGrid w:val="0"/>
          <w:lang w:val="fr-CA"/>
        </w:rPr>
        <w:t>1</w:t>
      </w:r>
      <w:r w:rsidR="000B08F2" w:rsidRPr="009D4254">
        <w:rPr>
          <w:snapToGrid w:val="0"/>
          <w:lang w:val="fr-CA"/>
        </w:rPr>
        <w:t>)</w:t>
      </w:r>
      <w:r w:rsidR="006C3355">
        <w:rPr>
          <w:snapToGrid w:val="0"/>
          <w:lang w:val="fr-CA"/>
        </w:rPr>
        <w:t xml:space="preserve"> </w:t>
      </w:r>
      <w:r w:rsidRPr="009D4254">
        <w:rPr>
          <w:snapToGrid w:val="0"/>
          <w:lang w:val="fr-CA"/>
        </w:rPr>
        <w:t xml:space="preserve">ou </w:t>
      </w:r>
      <w:r w:rsidR="006C3355">
        <w:rPr>
          <w:snapToGrid w:val="0"/>
          <w:lang w:val="fr-CA"/>
        </w:rPr>
        <w:t xml:space="preserve">à </w:t>
      </w:r>
      <w:r w:rsidRPr="009D4254">
        <w:rPr>
          <w:snapToGrid w:val="0"/>
          <w:lang w:val="fr-CA"/>
        </w:rPr>
        <w:t xml:space="preserve">plusieurs </w:t>
      </w:r>
      <w:r w:rsidR="006C3355">
        <w:rPr>
          <w:snapToGrid w:val="0"/>
          <w:lang w:val="fr-CA"/>
        </w:rPr>
        <w:t>occasions</w:t>
      </w:r>
      <w:r w:rsidR="000B08F2" w:rsidRPr="009D4254">
        <w:rPr>
          <w:snapToGrid w:val="0"/>
          <w:lang w:val="fr-CA"/>
        </w:rPr>
        <w:t xml:space="preserve"> </w:t>
      </w:r>
      <w:r w:rsidRPr="009D4254">
        <w:rPr>
          <w:snapToGrid w:val="0"/>
          <w:lang w:val="fr-CA"/>
        </w:rPr>
        <w:t xml:space="preserve">n’est pas réputée constituer une renonciation </w:t>
      </w:r>
      <w:r w:rsidR="006C3355">
        <w:rPr>
          <w:snapToGrid w:val="0"/>
          <w:lang w:val="fr-CA"/>
        </w:rPr>
        <w:t xml:space="preserve">ultérieure </w:t>
      </w:r>
      <w:r w:rsidRPr="009D4254">
        <w:rPr>
          <w:snapToGrid w:val="0"/>
          <w:lang w:val="fr-CA"/>
        </w:rPr>
        <w:t>ou permanente à cette modalité, condition ou disposition et ne saurait être interprété</w:t>
      </w:r>
      <w:r w:rsidR="006C3355">
        <w:rPr>
          <w:snapToGrid w:val="0"/>
          <w:lang w:val="fr-CA"/>
        </w:rPr>
        <w:t>e</w:t>
      </w:r>
      <w:r w:rsidRPr="009D4254">
        <w:rPr>
          <w:snapToGrid w:val="0"/>
          <w:lang w:val="fr-CA"/>
        </w:rPr>
        <w:t xml:space="preserve"> comme telle</w:t>
      </w:r>
      <w:r w:rsidR="000B08F2" w:rsidRPr="009D4254">
        <w:rPr>
          <w:snapToGrid w:val="0"/>
          <w:lang w:val="fr-CA"/>
        </w:rPr>
        <w:t>.</w:t>
      </w:r>
    </w:p>
    <w:p w14:paraId="11B6A323" w14:textId="4C96768C" w:rsidR="00037C7E" w:rsidRPr="00986BEB" w:rsidRDefault="006C3355" w:rsidP="00D82735">
      <w:pPr>
        <w:pStyle w:val="StandardL2"/>
        <w:rPr>
          <w:lang w:val="fr-CA"/>
        </w:rPr>
      </w:pPr>
      <w:bookmarkStart w:id="421" w:name="_Ref448380665"/>
      <w:bookmarkStart w:id="422" w:name="_Toc132874765"/>
      <w:r w:rsidRPr="006C3355">
        <w:rPr>
          <w:lang w:val="fr-CA"/>
        </w:rPr>
        <w:t>Dissociabilité</w:t>
      </w:r>
      <w:r w:rsidR="000B08F2" w:rsidRPr="006C3355">
        <w:rPr>
          <w:snapToGrid w:val="0"/>
          <w:lang w:val="fr-CA"/>
        </w:rPr>
        <w:t>.</w:t>
      </w:r>
      <w:bookmarkEnd w:id="421"/>
      <w:bookmarkEnd w:id="422"/>
    </w:p>
    <w:p w14:paraId="269D2AFE" w14:textId="4E8F348C" w:rsidR="00037C7E" w:rsidRPr="009D4254" w:rsidRDefault="009B3E06">
      <w:pPr>
        <w:pStyle w:val="StandardCont2"/>
        <w:rPr>
          <w:lang w:val="fr-CA"/>
        </w:rPr>
      </w:pPr>
      <w:r>
        <w:rPr>
          <w:snapToGrid w:val="0"/>
          <w:lang w:val="fr-CA"/>
        </w:rPr>
        <w:t>Si</w:t>
      </w:r>
      <w:r w:rsidR="00BE77C2">
        <w:rPr>
          <w:snapToGrid w:val="0"/>
          <w:lang w:val="fr-CA"/>
        </w:rPr>
        <w:t xml:space="preserve"> </w:t>
      </w:r>
      <w:r w:rsidR="00CA78DD" w:rsidRPr="009D4254">
        <w:rPr>
          <w:snapToGrid w:val="0"/>
          <w:lang w:val="fr-CA"/>
        </w:rPr>
        <w:t>une</w:t>
      </w:r>
      <w:r w:rsidR="0028621E">
        <w:rPr>
          <w:snapToGrid w:val="0"/>
          <w:lang w:val="fr-CA"/>
        </w:rPr>
        <w:t> </w:t>
      </w:r>
      <w:r w:rsidR="00CA78DD" w:rsidRPr="009D4254">
        <w:rPr>
          <w:snapToGrid w:val="0"/>
          <w:lang w:val="fr-CA"/>
        </w:rPr>
        <w:t>(</w:t>
      </w:r>
      <w:r w:rsidR="00CA78DD" w:rsidRPr="00986BEB">
        <w:rPr>
          <w:snapToGrid w:val="0"/>
          <w:lang w:val="fr-CA"/>
        </w:rPr>
        <w:t>1</w:t>
      </w:r>
      <w:r w:rsidR="00CA78DD" w:rsidRPr="009D4254">
        <w:rPr>
          <w:snapToGrid w:val="0"/>
          <w:lang w:val="fr-CA"/>
        </w:rPr>
        <w:t>) ou plusieurs dispositions de la présente Convention s</w:t>
      </w:r>
      <w:r>
        <w:rPr>
          <w:snapToGrid w:val="0"/>
          <w:lang w:val="fr-CA"/>
        </w:rPr>
        <w:t>o</w:t>
      </w:r>
      <w:r w:rsidR="00BE77C2">
        <w:rPr>
          <w:snapToGrid w:val="0"/>
          <w:lang w:val="fr-CA"/>
        </w:rPr>
        <w:t>nt</w:t>
      </w:r>
      <w:r w:rsidR="00CA78DD" w:rsidRPr="009D4254">
        <w:rPr>
          <w:snapToGrid w:val="0"/>
          <w:lang w:val="fr-CA"/>
        </w:rPr>
        <w:t xml:space="preserve"> jugées invalides, illégales ou inopposables à quelque égard et pour quelque raison que ce soit, </w:t>
      </w:r>
      <w:r w:rsidR="00BE77C2">
        <w:rPr>
          <w:snapToGrid w:val="0"/>
          <w:lang w:val="fr-CA"/>
        </w:rPr>
        <w:t>l’</w:t>
      </w:r>
      <w:r w:rsidR="00CA78DD" w:rsidRPr="009D4254">
        <w:rPr>
          <w:snapToGrid w:val="0"/>
          <w:lang w:val="fr-CA"/>
        </w:rPr>
        <w:t xml:space="preserve">invalidité, </w:t>
      </w:r>
      <w:r w:rsidR="00BE77C2">
        <w:rPr>
          <w:snapToGrid w:val="0"/>
          <w:lang w:val="fr-CA"/>
        </w:rPr>
        <w:t>l’</w:t>
      </w:r>
      <w:r w:rsidR="00CA78DD" w:rsidRPr="009D4254">
        <w:rPr>
          <w:snapToGrid w:val="0"/>
          <w:lang w:val="fr-CA"/>
        </w:rPr>
        <w:t xml:space="preserve">illégalité ou </w:t>
      </w:r>
      <w:r w:rsidR="00BE77C2">
        <w:rPr>
          <w:snapToGrid w:val="0"/>
          <w:lang w:val="fr-CA"/>
        </w:rPr>
        <w:t>l’</w:t>
      </w:r>
      <w:r w:rsidR="00CA78DD" w:rsidRPr="009D4254">
        <w:rPr>
          <w:snapToGrid w:val="0"/>
          <w:lang w:val="fr-CA"/>
        </w:rPr>
        <w:t xml:space="preserve">inopposabilité </w:t>
      </w:r>
      <w:r w:rsidR="00BE77C2">
        <w:rPr>
          <w:snapToGrid w:val="0"/>
          <w:lang w:val="fr-CA"/>
        </w:rPr>
        <w:t xml:space="preserve">de ces dispositions </w:t>
      </w:r>
      <w:r w:rsidR="00CA78DD" w:rsidRPr="009D4254">
        <w:rPr>
          <w:snapToGrid w:val="0"/>
          <w:lang w:val="fr-CA"/>
        </w:rPr>
        <w:t>n’a aucun effet sur les autres dispositions de la présente Convention, et l</w:t>
      </w:r>
      <w:r w:rsidR="00BE77C2">
        <w:rPr>
          <w:snapToGrid w:val="0"/>
          <w:lang w:val="fr-CA"/>
        </w:rPr>
        <w:t>es</w:t>
      </w:r>
      <w:r w:rsidR="00CA78DD" w:rsidRPr="009D4254">
        <w:rPr>
          <w:snapToGrid w:val="0"/>
          <w:lang w:val="fr-CA"/>
        </w:rPr>
        <w:t xml:space="preserve"> disposition</w:t>
      </w:r>
      <w:r w:rsidR="00BE77C2">
        <w:rPr>
          <w:snapToGrid w:val="0"/>
          <w:lang w:val="fr-CA"/>
        </w:rPr>
        <w:t>s</w:t>
      </w:r>
      <w:r w:rsidR="00CA78DD" w:rsidRPr="009D4254">
        <w:rPr>
          <w:snapToGrid w:val="0"/>
          <w:lang w:val="fr-CA"/>
        </w:rPr>
        <w:t xml:space="preserve"> invalide</w:t>
      </w:r>
      <w:r w:rsidR="00BE77C2">
        <w:rPr>
          <w:snapToGrid w:val="0"/>
          <w:lang w:val="fr-CA"/>
        </w:rPr>
        <w:t>s</w:t>
      </w:r>
      <w:r w:rsidR="00CA78DD" w:rsidRPr="009D4254">
        <w:rPr>
          <w:snapToGrid w:val="0"/>
          <w:lang w:val="fr-CA"/>
        </w:rPr>
        <w:t>, illégale</w:t>
      </w:r>
      <w:r w:rsidR="00BE77C2">
        <w:rPr>
          <w:snapToGrid w:val="0"/>
          <w:lang w:val="fr-CA"/>
        </w:rPr>
        <w:t>s</w:t>
      </w:r>
      <w:r w:rsidR="00CA78DD" w:rsidRPr="009D4254">
        <w:rPr>
          <w:snapToGrid w:val="0"/>
          <w:lang w:val="fr-CA"/>
        </w:rPr>
        <w:t xml:space="preserve"> ou inopposable</w:t>
      </w:r>
      <w:r w:rsidR="00BE77C2">
        <w:rPr>
          <w:snapToGrid w:val="0"/>
          <w:lang w:val="fr-CA"/>
        </w:rPr>
        <w:t>s</w:t>
      </w:r>
      <w:r w:rsidR="00CA78DD" w:rsidRPr="009D4254">
        <w:rPr>
          <w:snapToGrid w:val="0"/>
          <w:lang w:val="fr-CA"/>
        </w:rPr>
        <w:t xml:space="preserve"> </w:t>
      </w:r>
      <w:r w:rsidR="00BE77C2">
        <w:rPr>
          <w:snapToGrid w:val="0"/>
          <w:lang w:val="fr-CA"/>
        </w:rPr>
        <w:t xml:space="preserve">sont </w:t>
      </w:r>
      <w:r w:rsidR="00CA78DD" w:rsidRPr="009D4254">
        <w:rPr>
          <w:snapToGrid w:val="0"/>
          <w:lang w:val="fr-CA"/>
        </w:rPr>
        <w:t>reformulée</w:t>
      </w:r>
      <w:r w:rsidR="00BE77C2">
        <w:rPr>
          <w:snapToGrid w:val="0"/>
          <w:lang w:val="fr-CA"/>
        </w:rPr>
        <w:t>s</w:t>
      </w:r>
      <w:r w:rsidR="00CA78DD" w:rsidRPr="009D4254">
        <w:rPr>
          <w:snapToGrid w:val="0"/>
          <w:lang w:val="fr-CA"/>
        </w:rPr>
        <w:t xml:space="preserve"> et interprétée</w:t>
      </w:r>
      <w:r w:rsidR="00BE77C2">
        <w:rPr>
          <w:snapToGrid w:val="0"/>
          <w:lang w:val="fr-CA"/>
        </w:rPr>
        <w:t>s</w:t>
      </w:r>
      <w:r w:rsidR="00CA78DD" w:rsidRPr="009D4254">
        <w:rPr>
          <w:snapToGrid w:val="0"/>
          <w:lang w:val="fr-CA"/>
        </w:rPr>
        <w:t xml:space="preserve"> de façon </w:t>
      </w:r>
      <w:r w:rsidR="00BE77C2">
        <w:rPr>
          <w:snapToGrid w:val="0"/>
          <w:lang w:val="fr-CA"/>
        </w:rPr>
        <w:t xml:space="preserve">qu’elles soient </w:t>
      </w:r>
      <w:r w:rsidR="00CA78DD" w:rsidRPr="009D4254">
        <w:rPr>
          <w:snapToGrid w:val="0"/>
          <w:lang w:val="fr-CA"/>
        </w:rPr>
        <w:t>valide</w:t>
      </w:r>
      <w:r w:rsidR="00BE77C2">
        <w:rPr>
          <w:snapToGrid w:val="0"/>
          <w:lang w:val="fr-CA"/>
        </w:rPr>
        <w:t>s</w:t>
      </w:r>
      <w:r w:rsidR="00CA78DD" w:rsidRPr="009D4254">
        <w:rPr>
          <w:snapToGrid w:val="0"/>
          <w:lang w:val="fr-CA"/>
        </w:rPr>
        <w:t>, légale</w:t>
      </w:r>
      <w:r w:rsidR="00BE77C2">
        <w:rPr>
          <w:snapToGrid w:val="0"/>
          <w:lang w:val="fr-CA"/>
        </w:rPr>
        <w:t>s</w:t>
      </w:r>
      <w:r w:rsidR="00CA78DD" w:rsidRPr="009D4254">
        <w:rPr>
          <w:snapToGrid w:val="0"/>
          <w:lang w:val="fr-CA"/>
        </w:rPr>
        <w:t xml:space="preserve"> et opposable</w:t>
      </w:r>
      <w:r w:rsidR="00BE77C2">
        <w:rPr>
          <w:snapToGrid w:val="0"/>
          <w:lang w:val="fr-CA"/>
        </w:rPr>
        <w:t>s</w:t>
      </w:r>
      <w:r w:rsidR="00CA78DD" w:rsidRPr="009D4254">
        <w:rPr>
          <w:snapToGrid w:val="0"/>
          <w:lang w:val="fr-CA"/>
        </w:rPr>
        <w:t xml:space="preserve"> dans la pleine mesure permise par la loi.</w:t>
      </w:r>
    </w:p>
    <w:p w14:paraId="76870B5E" w14:textId="6985466E" w:rsidR="00037C7E" w:rsidRPr="00986BEB" w:rsidRDefault="00CA78DD">
      <w:pPr>
        <w:pStyle w:val="StandardL2"/>
        <w:rPr>
          <w:lang w:val="fr-CA"/>
        </w:rPr>
      </w:pPr>
      <w:bookmarkStart w:id="423" w:name="_Ref448380666"/>
      <w:bookmarkStart w:id="424" w:name="_Toc132874766"/>
      <w:r w:rsidRPr="009D4254">
        <w:rPr>
          <w:lang w:val="fr-CA"/>
        </w:rPr>
        <w:t>Regroupement d’actions</w:t>
      </w:r>
      <w:r w:rsidR="00D179D8" w:rsidRPr="009D4254">
        <w:rPr>
          <w:lang w:val="fr-CA"/>
        </w:rPr>
        <w:t xml:space="preserve">; </w:t>
      </w:r>
      <w:r w:rsidRPr="009D4254">
        <w:rPr>
          <w:lang w:val="fr-CA"/>
        </w:rPr>
        <w:t>répartition</w:t>
      </w:r>
      <w:bookmarkStart w:id="425" w:name="_Ref448380732"/>
      <w:r w:rsidR="000B08F2" w:rsidRPr="00986BEB">
        <w:rPr>
          <w:rStyle w:val="FootnoteReference"/>
          <w:snapToGrid w:val="0"/>
          <w:lang w:val="fr-CA"/>
        </w:rPr>
        <w:footnoteReference w:id="70"/>
      </w:r>
      <w:bookmarkEnd w:id="423"/>
      <w:bookmarkEnd w:id="425"/>
      <w:r w:rsidRPr="00CA78DD">
        <w:rPr>
          <w:lang w:val="fr-CA"/>
        </w:rPr>
        <w:t>.</w:t>
      </w:r>
      <w:bookmarkEnd w:id="424"/>
    </w:p>
    <w:p w14:paraId="35CBFEB9" w14:textId="4EA99E87" w:rsidR="00037C7E" w:rsidRPr="009D4254" w:rsidRDefault="00CA78DD">
      <w:pPr>
        <w:pStyle w:val="StandardCont2"/>
        <w:rPr>
          <w:lang w:val="fr-CA"/>
        </w:rPr>
      </w:pPr>
      <w:r w:rsidRPr="009D4254">
        <w:rPr>
          <w:snapToGrid w:val="0"/>
          <w:lang w:val="fr-CA"/>
        </w:rPr>
        <w:t>Tous les Titres à inscrire détenus ou acquis par des Membres du même groupe sont regroupés afin de déterminer l’admissibilité aux droits prévus aux termes de la présente Convention, et ces Membres du même groupe peuvent répartir ces droits entre eux comme ils le jugent approprié.</w:t>
      </w:r>
    </w:p>
    <w:p w14:paraId="6DF7D67F" w14:textId="58B91530" w:rsidR="00037C7E" w:rsidRPr="00986BEB" w:rsidRDefault="00CA78DD">
      <w:pPr>
        <w:pStyle w:val="StandardL2"/>
        <w:rPr>
          <w:lang w:val="fr-CA"/>
        </w:rPr>
      </w:pPr>
      <w:bookmarkStart w:id="426" w:name="_Ref118377528"/>
      <w:bookmarkStart w:id="427" w:name="_Toc132874767"/>
      <w:r w:rsidRPr="009D4254">
        <w:rPr>
          <w:lang w:val="fr-CA"/>
        </w:rPr>
        <w:t>Investisseurs supplémentaires.</w:t>
      </w:r>
      <w:bookmarkEnd w:id="426"/>
      <w:bookmarkEnd w:id="427"/>
    </w:p>
    <w:p w14:paraId="57ECB76D" w14:textId="1135BA7C" w:rsidR="00037C7E" w:rsidRPr="0059083D" w:rsidRDefault="00CA78DD">
      <w:pPr>
        <w:pStyle w:val="StandardCont2"/>
        <w:rPr>
          <w:lang w:val="fr-CA"/>
        </w:rPr>
      </w:pPr>
      <w:r>
        <w:rPr>
          <w:snapToGrid w:val="0"/>
          <w:lang w:val="fr-CA"/>
        </w:rPr>
        <w:t xml:space="preserve">Malgré toute disposition contraire des présentes, si </w:t>
      </w:r>
      <w:r w:rsidR="000B08F2" w:rsidRPr="0059083D">
        <w:rPr>
          <w:snapToGrid w:val="0"/>
          <w:lang w:val="fr-CA"/>
        </w:rPr>
        <w:t xml:space="preserve">la Société </w:t>
      </w:r>
      <w:r>
        <w:rPr>
          <w:snapToGrid w:val="0"/>
          <w:lang w:val="fr-CA"/>
        </w:rPr>
        <w:t>émet des Actions privilégiées de catégorie </w:t>
      </w:r>
      <w:r w:rsidR="000B08F2" w:rsidRPr="0059083D">
        <w:rPr>
          <w:snapToGrid w:val="0"/>
          <w:lang w:val="fr-CA"/>
        </w:rPr>
        <w:t xml:space="preserve">[_] </w:t>
      </w:r>
      <w:r>
        <w:rPr>
          <w:snapToGrid w:val="0"/>
          <w:lang w:val="fr-CA"/>
        </w:rPr>
        <w:t>supplémentaires après la date des présentes</w:t>
      </w:r>
      <w:r w:rsidR="000B08F2" w:rsidRPr="0059083D">
        <w:rPr>
          <w:snapToGrid w:val="0"/>
          <w:lang w:val="fr-CA"/>
        </w:rPr>
        <w:t>, [</w:t>
      </w:r>
      <w:r>
        <w:rPr>
          <w:snapToGrid w:val="0"/>
          <w:lang w:val="fr-CA"/>
        </w:rPr>
        <w:t xml:space="preserve">conformément à </w:t>
      </w:r>
      <w:r w:rsidR="000B08F2" w:rsidRPr="0059083D">
        <w:rPr>
          <w:snapToGrid w:val="0"/>
          <w:lang w:val="fr-CA"/>
        </w:rPr>
        <w:t>la Convention d’achat</w:t>
      </w:r>
      <w:r w:rsidR="000B08F2" w:rsidRPr="00986BEB">
        <w:rPr>
          <w:rStyle w:val="FootnoteReference"/>
          <w:snapToGrid w:val="0"/>
          <w:lang w:val="fr-CA"/>
        </w:rPr>
        <w:footnoteReference w:id="71"/>
      </w:r>
      <w:r w:rsidR="009B3E06" w:rsidRPr="0059083D">
        <w:rPr>
          <w:snapToGrid w:val="0"/>
          <w:lang w:val="fr-CA"/>
        </w:rPr>
        <w:t>,]</w:t>
      </w:r>
      <w:r w:rsidR="000B08F2" w:rsidRPr="0059083D">
        <w:rPr>
          <w:snapToGrid w:val="0"/>
          <w:lang w:val="fr-CA"/>
        </w:rPr>
        <w:t xml:space="preserve"> </w:t>
      </w:r>
      <w:r>
        <w:rPr>
          <w:snapToGrid w:val="0"/>
          <w:lang w:val="fr-CA"/>
        </w:rPr>
        <w:t>tout acheteur de ces Actions privilégiées de catégorie </w:t>
      </w:r>
      <w:r w:rsidR="000B08F2" w:rsidRPr="0059083D">
        <w:rPr>
          <w:snapToGrid w:val="0"/>
          <w:lang w:val="fr-CA"/>
        </w:rPr>
        <w:t xml:space="preserve">[_] </w:t>
      </w:r>
      <w:r>
        <w:rPr>
          <w:snapToGrid w:val="0"/>
          <w:lang w:val="fr-CA"/>
        </w:rPr>
        <w:t xml:space="preserve">peut devenir partie à </w:t>
      </w:r>
      <w:r w:rsidR="000B08F2" w:rsidRPr="0059083D">
        <w:rPr>
          <w:snapToGrid w:val="0"/>
          <w:lang w:val="fr-CA"/>
        </w:rPr>
        <w:t xml:space="preserve">la présente Convention </w:t>
      </w:r>
      <w:r>
        <w:rPr>
          <w:snapToGrid w:val="0"/>
          <w:lang w:val="fr-CA"/>
        </w:rPr>
        <w:t xml:space="preserve">en signant et en remettant un exemplaire supplémentaire de la page de signature de </w:t>
      </w:r>
      <w:r w:rsidR="000B08F2" w:rsidRPr="0059083D">
        <w:rPr>
          <w:snapToGrid w:val="0"/>
          <w:lang w:val="fr-CA"/>
        </w:rPr>
        <w:t>la présente Convention</w:t>
      </w:r>
      <w:r w:rsidR="00230F85">
        <w:rPr>
          <w:snapToGrid w:val="0"/>
          <w:lang w:val="fr-CA"/>
        </w:rPr>
        <w:t>. P</w:t>
      </w:r>
      <w:r>
        <w:rPr>
          <w:snapToGrid w:val="0"/>
          <w:lang w:val="fr-CA"/>
        </w:rPr>
        <w:t xml:space="preserve">ar la suite, il </w:t>
      </w:r>
      <w:r w:rsidR="00230F85">
        <w:rPr>
          <w:snapToGrid w:val="0"/>
          <w:lang w:val="fr-CA"/>
        </w:rPr>
        <w:t>sera</w:t>
      </w:r>
      <w:r>
        <w:rPr>
          <w:snapToGrid w:val="0"/>
          <w:lang w:val="fr-CA"/>
        </w:rPr>
        <w:t xml:space="preserve"> considéré comme un </w:t>
      </w:r>
      <w:r w:rsidR="000B08F2" w:rsidRPr="0059083D">
        <w:rPr>
          <w:snapToGrid w:val="0"/>
          <w:lang w:val="fr-CA"/>
        </w:rPr>
        <w:t>« </w:t>
      </w:r>
      <w:r w:rsidR="000F37C7" w:rsidRPr="0059083D">
        <w:rPr>
          <w:snapToGrid w:val="0"/>
          <w:lang w:val="fr-CA"/>
        </w:rPr>
        <w:t>Investisseur</w:t>
      </w:r>
      <w:r w:rsidR="000B08F2" w:rsidRPr="0059083D">
        <w:rPr>
          <w:snapToGrid w:val="0"/>
          <w:lang w:val="fr-CA"/>
        </w:rPr>
        <w:t xml:space="preserve"> » </w:t>
      </w:r>
      <w:r>
        <w:rPr>
          <w:snapToGrid w:val="0"/>
          <w:lang w:val="fr-CA"/>
        </w:rPr>
        <w:t>à toutes fins utiles aux termes des présentes</w:t>
      </w:r>
      <w:r w:rsidR="000B08F2" w:rsidRPr="0059083D">
        <w:rPr>
          <w:snapToGrid w:val="0"/>
          <w:lang w:val="fr-CA"/>
        </w:rPr>
        <w:t xml:space="preserve">. </w:t>
      </w:r>
      <w:r w:rsidR="007E750B">
        <w:rPr>
          <w:snapToGrid w:val="0"/>
          <w:lang w:val="fr-CA"/>
        </w:rPr>
        <w:t xml:space="preserve">Aucune mesure </w:t>
      </w:r>
      <w:r w:rsidR="00600D46">
        <w:rPr>
          <w:snapToGrid w:val="0"/>
          <w:lang w:val="fr-CA"/>
        </w:rPr>
        <w:t>ou</w:t>
      </w:r>
      <w:r w:rsidR="007E750B">
        <w:rPr>
          <w:snapToGrid w:val="0"/>
          <w:lang w:val="fr-CA"/>
        </w:rPr>
        <w:t xml:space="preserve"> aucun consentement n’est nécessaire de la part des Investisseurs pour qu’un </w:t>
      </w:r>
      <w:r>
        <w:rPr>
          <w:snapToGrid w:val="0"/>
          <w:lang w:val="fr-CA"/>
        </w:rPr>
        <w:t xml:space="preserve">Investisseur supplémentaire </w:t>
      </w:r>
      <w:r w:rsidR="007E750B">
        <w:rPr>
          <w:snapToGrid w:val="0"/>
          <w:lang w:val="fr-CA"/>
        </w:rPr>
        <w:t xml:space="preserve">devienne partie </w:t>
      </w:r>
      <w:r>
        <w:rPr>
          <w:snapToGrid w:val="0"/>
          <w:lang w:val="fr-CA"/>
        </w:rPr>
        <w:t>à la présente Convention</w:t>
      </w:r>
      <w:r w:rsidR="000B08F2" w:rsidRPr="0059083D">
        <w:rPr>
          <w:snapToGrid w:val="0"/>
          <w:lang w:val="fr-CA"/>
        </w:rPr>
        <w:t xml:space="preserve">, </w:t>
      </w:r>
      <w:r>
        <w:rPr>
          <w:snapToGrid w:val="0"/>
          <w:lang w:val="fr-CA"/>
        </w:rPr>
        <w:t xml:space="preserve">pour autant que cet Investisseur supplémentaire ait accepté par écrit d’être lié par toutes les obligations applicables à </w:t>
      </w:r>
      <w:r w:rsidR="007E750B">
        <w:rPr>
          <w:snapToGrid w:val="0"/>
          <w:lang w:val="fr-CA"/>
        </w:rPr>
        <w:t>titre d’</w:t>
      </w:r>
      <w:r w:rsidR="000B08F2" w:rsidRPr="0059083D">
        <w:rPr>
          <w:snapToGrid w:val="0"/>
          <w:lang w:val="fr-CA"/>
        </w:rPr>
        <w:t>« </w:t>
      </w:r>
      <w:r w:rsidR="000F37C7" w:rsidRPr="0059083D">
        <w:rPr>
          <w:snapToGrid w:val="0"/>
          <w:lang w:val="fr-CA"/>
        </w:rPr>
        <w:t>Investisseur</w:t>
      </w:r>
      <w:r w:rsidR="000B08F2" w:rsidRPr="0059083D">
        <w:rPr>
          <w:snapToGrid w:val="0"/>
          <w:lang w:val="fr-CA"/>
        </w:rPr>
        <w:t xml:space="preserve"> » </w:t>
      </w:r>
      <w:r>
        <w:rPr>
          <w:snapToGrid w:val="0"/>
          <w:lang w:val="fr-CA"/>
        </w:rPr>
        <w:t>aux termes des présentes</w:t>
      </w:r>
      <w:r w:rsidR="000B08F2" w:rsidRPr="0059083D">
        <w:rPr>
          <w:snapToGrid w:val="0"/>
          <w:lang w:val="fr-CA"/>
        </w:rPr>
        <w:t>.</w:t>
      </w:r>
    </w:p>
    <w:p w14:paraId="2F45C304" w14:textId="4B72F9E7" w:rsidR="00037C7E" w:rsidRPr="00986BEB" w:rsidRDefault="001D6BBD">
      <w:pPr>
        <w:pStyle w:val="StandardL2"/>
        <w:rPr>
          <w:lang w:val="fr-CA"/>
        </w:rPr>
      </w:pPr>
      <w:bookmarkStart w:id="428" w:name="_Toc448312497"/>
      <w:bookmarkStart w:id="429" w:name="_Ref448322872"/>
      <w:bookmarkStart w:id="430" w:name="_Toc448326890"/>
      <w:bookmarkStart w:id="431" w:name="_Toc525307234"/>
      <w:bookmarkStart w:id="432" w:name="_Toc130911349"/>
      <w:bookmarkStart w:id="433" w:name="_Ref448380668"/>
      <w:bookmarkStart w:id="434" w:name="_Toc132874768"/>
      <w:r w:rsidRPr="00697CCA">
        <w:rPr>
          <w:lang w:val="fr-CA"/>
        </w:rPr>
        <w:t>Intégralité de l’entente.</w:t>
      </w:r>
      <w:bookmarkEnd w:id="428"/>
      <w:bookmarkEnd w:id="429"/>
      <w:bookmarkEnd w:id="430"/>
      <w:bookmarkEnd w:id="431"/>
      <w:bookmarkEnd w:id="432"/>
      <w:bookmarkEnd w:id="433"/>
      <w:bookmarkEnd w:id="434"/>
    </w:p>
    <w:p w14:paraId="225731F1" w14:textId="0879A625" w:rsidR="00037C7E" w:rsidRPr="0059083D" w:rsidRDefault="001D6BBD" w:rsidP="00697CCA">
      <w:pPr>
        <w:pStyle w:val="StandardCont2"/>
        <w:rPr>
          <w:lang w:val="fr-CA"/>
        </w:rPr>
      </w:pPr>
      <w:r w:rsidRPr="00697CCA">
        <w:rPr>
          <w:snapToGrid w:val="0"/>
          <w:lang w:val="fr-CA"/>
        </w:rPr>
        <w:t>La présente Convention (y compris ses Annexes)</w:t>
      </w:r>
      <w:r w:rsidR="00697CCA" w:rsidRPr="00697CCA">
        <w:rPr>
          <w:snapToGrid w:val="0"/>
          <w:lang w:val="fr-CA"/>
        </w:rPr>
        <w:t>[</w:t>
      </w:r>
      <w:r w:rsidRPr="00697CCA">
        <w:rPr>
          <w:snapToGrid w:val="0"/>
          <w:lang w:val="fr-CA"/>
        </w:rPr>
        <w:t xml:space="preserve">, </w:t>
      </w:r>
      <w:r w:rsidR="00697CCA" w:rsidRPr="00697CCA">
        <w:rPr>
          <w:snapToGrid w:val="0"/>
          <w:lang w:val="fr-CA"/>
        </w:rPr>
        <w:t xml:space="preserve">avec </w:t>
      </w:r>
      <w:r w:rsidRPr="00697CCA">
        <w:rPr>
          <w:snapToGrid w:val="0"/>
          <w:lang w:val="fr-CA"/>
        </w:rPr>
        <w:t>les autres Conventions relatives aux opérations</w:t>
      </w:r>
      <w:r w:rsidR="00697CCA" w:rsidRPr="00697CCA">
        <w:rPr>
          <w:snapToGrid w:val="0"/>
          <w:lang w:val="fr-CA"/>
        </w:rPr>
        <w:t xml:space="preserve"> (au sens de la </w:t>
      </w:r>
      <w:r w:rsidR="00697CCA" w:rsidRPr="00697CCA">
        <w:rPr>
          <w:szCs w:val="24"/>
          <w:lang w:val="fr-CA"/>
        </w:rPr>
        <w:t>Convention d’achat)</w:t>
      </w:r>
      <w:r w:rsidR="00697CCA" w:rsidRPr="00986BEB">
        <w:rPr>
          <w:rStyle w:val="FootnoteReference"/>
          <w:rFonts w:eastAsiaTheme="majorEastAsia"/>
          <w:szCs w:val="24"/>
          <w:lang w:val="fr-CA"/>
        </w:rPr>
        <w:footnoteReference w:id="72"/>
      </w:r>
      <w:r w:rsidR="00697CCA" w:rsidRPr="00697CCA">
        <w:rPr>
          <w:szCs w:val="24"/>
          <w:lang w:val="fr-CA"/>
        </w:rPr>
        <w:t>,</w:t>
      </w:r>
      <w:r w:rsidR="00697CCA" w:rsidRPr="00697CCA">
        <w:rPr>
          <w:snapToGrid w:val="0"/>
          <w:lang w:val="fr-CA"/>
        </w:rPr>
        <w:t>]</w:t>
      </w:r>
      <w:r w:rsidRPr="00697CCA">
        <w:rPr>
          <w:snapToGrid w:val="0"/>
          <w:lang w:val="fr-CA"/>
        </w:rPr>
        <w:t xml:space="preserve"> constitue l’entente intégrale intervenue entre les parties au sujet de l’objet des présentes, et toutes les autres ententes écrites ou verbales relatives à l’objet des présentes qui existent entre les parties sont expressément annulées.</w:t>
      </w:r>
      <w:r w:rsidR="000B08F2" w:rsidRPr="0059083D">
        <w:rPr>
          <w:snapToGrid w:val="0"/>
          <w:lang w:val="fr-CA"/>
        </w:rPr>
        <w:t xml:space="preserve"> [</w:t>
      </w:r>
      <w:r w:rsidR="00CA78DD">
        <w:rPr>
          <w:snapToGrid w:val="0"/>
          <w:lang w:val="fr-CA"/>
        </w:rPr>
        <w:t xml:space="preserve">Au moment de l’entrée en vigueur </w:t>
      </w:r>
      <w:r w:rsidR="000B08F2" w:rsidRPr="0059083D">
        <w:rPr>
          <w:snapToGrid w:val="0"/>
          <w:lang w:val="fr-CA"/>
        </w:rPr>
        <w:t xml:space="preserve">de la présente Convention, la Convention antérieure </w:t>
      </w:r>
      <w:r w:rsidR="00CA78DD">
        <w:rPr>
          <w:snapToGrid w:val="0"/>
          <w:lang w:val="fr-CA"/>
        </w:rPr>
        <w:t>est réputé</w:t>
      </w:r>
      <w:r w:rsidR="00A067B8">
        <w:rPr>
          <w:snapToGrid w:val="0"/>
          <w:lang w:val="fr-CA"/>
        </w:rPr>
        <w:t>e</w:t>
      </w:r>
      <w:r w:rsidR="00CA78DD">
        <w:rPr>
          <w:snapToGrid w:val="0"/>
          <w:lang w:val="fr-CA"/>
        </w:rPr>
        <w:t xml:space="preserve"> modifiée et mise à jour et remplacée intégralement par </w:t>
      </w:r>
      <w:r w:rsidR="000B08F2" w:rsidRPr="0059083D">
        <w:rPr>
          <w:snapToGrid w:val="0"/>
          <w:lang w:val="fr-CA"/>
        </w:rPr>
        <w:t xml:space="preserve">la présente Convention, </w:t>
      </w:r>
      <w:r w:rsidR="00CA78DD">
        <w:rPr>
          <w:snapToGrid w:val="0"/>
          <w:lang w:val="fr-CA"/>
        </w:rPr>
        <w:t>et devient nulle et sans effet</w:t>
      </w:r>
      <w:bookmarkStart w:id="435" w:name="_Ref448380733"/>
      <w:r w:rsidR="000B08F2" w:rsidRPr="00986BEB">
        <w:rPr>
          <w:rStyle w:val="FootnoteReference"/>
          <w:snapToGrid w:val="0"/>
          <w:lang w:val="fr-CA"/>
        </w:rPr>
        <w:footnoteReference w:id="73"/>
      </w:r>
      <w:bookmarkEnd w:id="435"/>
      <w:r w:rsidR="00697CCA" w:rsidRPr="0059083D">
        <w:rPr>
          <w:snapToGrid w:val="0"/>
          <w:lang w:val="fr-CA"/>
        </w:rPr>
        <w:t>.]</w:t>
      </w:r>
      <w:r w:rsidR="002F4BC0" w:rsidRPr="0059083D">
        <w:rPr>
          <w:snapToGrid w:val="0"/>
          <w:lang w:val="fr-CA"/>
        </w:rPr>
        <w:t xml:space="preserve"> </w:t>
      </w:r>
    </w:p>
    <w:p w14:paraId="0623BAF4" w14:textId="13FAFB38" w:rsidR="00037C7E" w:rsidRPr="00C85F25" w:rsidRDefault="00A109D2">
      <w:pPr>
        <w:pStyle w:val="StandardL2"/>
        <w:rPr>
          <w:lang w:val="fr-CA"/>
        </w:rPr>
      </w:pPr>
      <w:bookmarkStart w:id="436" w:name="_Ref448380669"/>
      <w:bookmarkStart w:id="437" w:name="_Toc132874769"/>
      <w:r w:rsidRPr="00C85F25">
        <w:rPr>
          <w:lang w:val="fr-CA"/>
        </w:rPr>
        <w:t>Résolution des différends</w:t>
      </w:r>
      <w:r w:rsidR="000B08F2" w:rsidRPr="00C85F25">
        <w:rPr>
          <w:snapToGrid w:val="0"/>
          <w:szCs w:val="16"/>
          <w:lang w:val="fr-CA"/>
        </w:rPr>
        <w:t>.</w:t>
      </w:r>
      <w:bookmarkEnd w:id="436"/>
      <w:bookmarkEnd w:id="437"/>
    </w:p>
    <w:p w14:paraId="29EB55A8" w14:textId="115B90A0" w:rsidR="00A109D2" w:rsidRPr="00C85F25" w:rsidRDefault="00A109D2">
      <w:pPr>
        <w:pStyle w:val="StandardCont2"/>
        <w:rPr>
          <w:snapToGrid w:val="0"/>
          <w:lang w:val="fr-CA"/>
        </w:rPr>
      </w:pPr>
      <w:r w:rsidRPr="00C85F25">
        <w:rPr>
          <w:snapToGrid w:val="0"/>
          <w:lang w:val="fr-CA"/>
        </w:rPr>
        <w:t xml:space="preserve">Les parties a) s’en remettent irrévocablement et inconditionnellement à la compétence des tribunaux de </w:t>
      </w:r>
      <w:r w:rsidRPr="00C85F25">
        <w:rPr>
          <w:i/>
          <w:iCs/>
          <w:snapToGrid w:val="0"/>
          <w:lang w:val="fr-CA"/>
        </w:rPr>
        <w:t>[province/territoire]</w:t>
      </w:r>
      <w:r w:rsidRPr="00C85F25">
        <w:rPr>
          <w:snapToGrid w:val="0"/>
          <w:lang w:val="fr-CA"/>
        </w:rPr>
        <w:t xml:space="preserve"> à l’égard de toute poursuite, action ou autre procédure découlant de la présente Convention ou fondée sur celle-ci, b) s’engagent à ne pas intenter de poursuite, d’action ou d’autre procédure découlant de la présente Convention ou fondée sur celle</w:t>
      </w:r>
      <w:r w:rsidRPr="00C85F25">
        <w:rPr>
          <w:snapToGrid w:val="0"/>
          <w:lang w:val="fr-CA"/>
        </w:rPr>
        <w:noBreakHyphen/>
        <w:t xml:space="preserve">ci, sauf devant les tribunaux de </w:t>
      </w:r>
      <w:r w:rsidRPr="00C85F25">
        <w:rPr>
          <w:i/>
          <w:iCs/>
          <w:snapToGrid w:val="0"/>
          <w:lang w:val="fr-CA"/>
        </w:rPr>
        <w:t>[province/territoire]</w:t>
      </w:r>
      <w:r w:rsidRPr="00C85F25">
        <w:rPr>
          <w:snapToGrid w:val="0"/>
          <w:lang w:val="fr-CA"/>
        </w:rPr>
        <w:t>, et c) renoncent par les présentes à présenter, par voie de requête, à titre de défense ou autrement, dans le cadre d’une telle poursuite, action ou procédure, une réclamation selon laquelle elles ne sont pas personnellement assujetties à la compétence des tribunaux susmentionnés, que leurs biens ne peuvent faire l’objet d’une saisie ou d’une mesure d’exécution, que la poursuite, l’action ou la procédure est intentée devant un tribunal inapproprié, que le lieu de la poursuite, de l’action ou de la procédure est inapproprié ou que le tribunal ne peut faire exécuter la présente Convention ou l’objet de celle-ci.</w:t>
      </w:r>
    </w:p>
    <w:p w14:paraId="43DB752A" w14:textId="553FF113" w:rsidR="00037C7E" w:rsidRPr="00C85F25" w:rsidRDefault="00A109D2">
      <w:pPr>
        <w:pStyle w:val="StandardCont2"/>
        <w:rPr>
          <w:lang w:val="fr-CA"/>
        </w:rPr>
      </w:pPr>
      <w:r w:rsidRPr="00C85F25">
        <w:rPr>
          <w:caps/>
          <w:lang w:val="fr-CA"/>
        </w:rPr>
        <w:t>RENONCIATION À UN PROCÈS DEVANT JURY : CHACUNE DES PARTIES RENONCE PAR LES PRÉSENTES À SON DROIT À UN PROCÈS DEVANT JURY POUR TOUTE RÉCLAMATION OU CAUSE D’ACTION FONDÉE SUR LA PRÉSENTE CONVENTION OU EN DÉCOULANT, LES AUTRES DOCUMENTS TRANSACTIONNELS, LES TITRES OU L’OBJET DES PRÉSENTES OU DE CEUX-CI. LA PORTÉE DE LA PRÉSENTE RENONCIATION SE VEUT GLOBALE ET INCLUT TOUT LITIGE INTENTÉ DEVANT UN TRIBUNAL ET AYANT TRAIT À L’OBJET DE LA PRÉSENTE OPÉRATION, NOTAMMENT LES RÉCLAMATIONS EN RESPONSABILITÉ CONTRACTUELLE OU DÉLICTUELLE (Y COMPRIS LA NÉGLIGENCE), LES RÉCLAMATIONS DÉCOULANT DE LA VIOLATION D’OBLIGATIONS ET L’ENSEMBLE DES AUTRES RÉCLAMATIONS PRÉVUES PAR LA COMMON LAW</w:t>
      </w:r>
      <w:r w:rsidR="00AC36D3" w:rsidRPr="00C85F25">
        <w:rPr>
          <w:caps/>
          <w:lang w:val="fr-CA"/>
        </w:rPr>
        <w:t>, le droit civil</w:t>
      </w:r>
      <w:r w:rsidRPr="00C85F25">
        <w:rPr>
          <w:caps/>
          <w:lang w:val="fr-CA"/>
        </w:rPr>
        <w:t xml:space="preserve"> ET LA LOI. LA PRÉSENTE RUBRIQUE A FAIT L’OBJET D’UNE ANALYSE EXHAUSTIVE PAR CHACUNE DES PARTIES AUX PRÉSENTES ET LES PRÉSENTES DISPOSITIONS NE FERONT L’OBJET D’AUCUNE EXCEPTION. EN OUTRE, CHAQUE PARTIE AUX PRÉSENTES GARANTIT ET DÉCLARE PAR LES PRÉSENTES QU’ELLE A EXAMINÉ LA PRÉSENTE RENONCIATION DE CONCERT AVEC SES CONSEILLERS JURIDIQUES ET QU’ELLE RENONCE EN TOUTE CONNAISSANCE DE CAUSE ET VOLONTAIREMENT À SON DROIT À UN PROCÈS DEVANT JURY APRÈS AVOIR CONSULTÉ SES CONSEILLERS JURIDIQUES</w:t>
      </w:r>
      <w:r w:rsidR="000B08F2" w:rsidRPr="00C85F25">
        <w:rPr>
          <w:lang w:val="fr-CA"/>
        </w:rPr>
        <w:t>.</w:t>
      </w:r>
    </w:p>
    <w:p w14:paraId="3DFDF3E7" w14:textId="7BE4CAD4" w:rsidR="00A109D2" w:rsidRPr="00C85F25" w:rsidRDefault="00A109D2">
      <w:pPr>
        <w:pStyle w:val="StandardCont2"/>
        <w:rPr>
          <w:lang w:val="fr-CA"/>
        </w:rPr>
      </w:pPr>
      <w:r w:rsidRPr="00C85F25">
        <w:rPr>
          <w:lang w:val="fr-CA"/>
        </w:rPr>
        <w:t>[</w:t>
      </w:r>
      <w:r w:rsidRPr="00C85F25">
        <w:rPr>
          <w:i/>
          <w:iCs/>
          <w:lang w:val="fr-CA"/>
        </w:rPr>
        <w:t>Variante</w:t>
      </w:r>
      <w:r w:rsidR="00AC36D3" w:rsidRPr="00C85F25">
        <w:rPr>
          <w:rStyle w:val="FootnoteReference"/>
          <w:lang w:val="fr-CA"/>
        </w:rPr>
        <w:footnoteReference w:id="74"/>
      </w:r>
      <w:r w:rsidRPr="00C85F25">
        <w:rPr>
          <w:i/>
          <w:iCs/>
          <w:lang w:val="fr-CA"/>
        </w:rPr>
        <w:t> :</w:t>
      </w:r>
      <w:r w:rsidRPr="00C85F25">
        <w:rPr>
          <w:lang w:val="fr-CA"/>
        </w:rPr>
        <w:t xml:space="preserve"> Tout désaccord ou toute réclamation non résolu</w:t>
      </w:r>
      <w:r w:rsidR="00744B06">
        <w:rPr>
          <w:lang w:val="fr-CA"/>
        </w:rPr>
        <w:t>(e)</w:t>
      </w:r>
      <w:r w:rsidRPr="00C85F25">
        <w:rPr>
          <w:lang w:val="fr-CA"/>
        </w:rPr>
        <w:t xml:space="preserve"> découlant de la présente Convention ou s’y rapportant, à l’exception (i) de ce qui est prévu dans la présente Convention, ou </w:t>
      </w:r>
      <w:bookmarkStart w:id="438" w:name="DocXTextRef150"/>
      <w:r w:rsidRPr="00C85F25">
        <w:rPr>
          <w:lang w:val="fr-CA"/>
        </w:rPr>
        <w:t>(ii)</w:t>
      </w:r>
      <w:bookmarkEnd w:id="438"/>
      <w:r w:rsidRPr="00C85F25">
        <w:rPr>
          <w:lang w:val="fr-CA"/>
        </w:rPr>
        <w:t xml:space="preserve"> de tout désaccord ou de toute réclamation découlant des droits de propriété intellectuelle de l’une ou l’autre des parties à l’égard desquels un recours provisoire ou une mesure de réparation en equity est demandé, doit être soumis à l’arbitrage d’un arbitre mutuellement accepté par les parties, et si aucune entente n’est intervenue dans les </w:t>
      </w:r>
      <w:r w:rsidR="00AC36D3" w:rsidRPr="00C85F25">
        <w:rPr>
          <w:lang w:val="fr-CA"/>
        </w:rPr>
        <w:t>trente (</w:t>
      </w:r>
      <w:r w:rsidRPr="00C85F25">
        <w:rPr>
          <w:lang w:val="fr-CA"/>
        </w:rPr>
        <w:t>30</w:t>
      </w:r>
      <w:r w:rsidR="00AC36D3" w:rsidRPr="00C85F25">
        <w:rPr>
          <w:lang w:val="fr-CA"/>
        </w:rPr>
        <w:t>) </w:t>
      </w:r>
      <w:r w:rsidRPr="00C85F25">
        <w:rPr>
          <w:lang w:val="fr-CA"/>
        </w:rPr>
        <w:t>jours après que l’</w:t>
      </w:r>
      <w:r w:rsidRPr="00C85F25">
        <w:rPr>
          <w:b/>
          <w:lang w:val="fr-CA"/>
        </w:rPr>
        <w:t>[American Arbitration Association/Association d’Arbitrage Canadienne]</w:t>
      </w:r>
      <w:r w:rsidRPr="00C85F25">
        <w:rPr>
          <w:lang w:val="fr-CA"/>
        </w:rPr>
        <w:t xml:space="preserve"> (l’« </w:t>
      </w:r>
      <w:r w:rsidRPr="00C85F25">
        <w:rPr>
          <w:b/>
          <w:lang w:val="fr-CA"/>
        </w:rPr>
        <w:t>[</w:t>
      </w:r>
      <w:r w:rsidRPr="00C85F25">
        <w:rPr>
          <w:b/>
          <w:bCs/>
          <w:lang w:val="fr-CA"/>
        </w:rPr>
        <w:t>AAA]</w:t>
      </w:r>
      <w:r w:rsidRPr="00C85F25">
        <w:rPr>
          <w:lang w:val="fr-CA"/>
        </w:rPr>
        <w:t xml:space="preserve"> ») a proposé des arbitres possibles, d’un arbitre doté d’une expérience raisonnable en matière d’opérations de financement d’entreprise du type prévu aux termes de la présente Convention et choisi par l’AAA. L’arbitrage aura lieu à </w:t>
      </w:r>
      <w:r w:rsidRPr="00C85F25">
        <w:rPr>
          <w:i/>
          <w:iCs/>
          <w:lang w:val="fr-CA"/>
        </w:rPr>
        <w:t>[endroit]</w:t>
      </w:r>
      <w:r w:rsidRPr="00C85F25">
        <w:rPr>
          <w:lang w:val="fr-CA"/>
        </w:rPr>
        <w:t xml:space="preserve">, conformément aux règles de l’AAA alors en vigueur, et la sentence arbitrale aura force exécutoire et pourra être homologuée par un tribunal compétent. Avant l’audience d’arbitrage, la communication préalable se limitera à ce qui suit : </w:t>
      </w:r>
      <w:bookmarkStart w:id="439" w:name="DocXTextRef151"/>
      <w:r w:rsidRPr="00C85F25">
        <w:rPr>
          <w:lang w:val="fr-CA"/>
        </w:rPr>
        <w:t>a)</w:t>
      </w:r>
      <w:bookmarkEnd w:id="439"/>
      <w:r w:rsidRPr="00C85F25">
        <w:rPr>
          <w:lang w:val="fr-CA"/>
        </w:rPr>
        <w:t xml:space="preserve"> l’échange de listes de témoins et de copies de preuves documentaires et de documents se rapportant aux questions faisant l’objet de l’arbitrage ou en découlant, </w:t>
      </w:r>
      <w:bookmarkStart w:id="440" w:name="DocXTextRef152"/>
      <w:r w:rsidRPr="00C85F25">
        <w:rPr>
          <w:lang w:val="fr-CA"/>
        </w:rPr>
        <w:t>b)</w:t>
      </w:r>
      <w:bookmarkEnd w:id="440"/>
      <w:r w:rsidRPr="00C85F25">
        <w:rPr>
          <w:lang w:val="fr-CA"/>
        </w:rPr>
        <w:t xml:space="preserve"> les dépositions des témoins de toutes les parties et </w:t>
      </w:r>
      <w:bookmarkStart w:id="441" w:name="DocXTextRef153"/>
      <w:r w:rsidRPr="00C85F25">
        <w:rPr>
          <w:lang w:val="fr-CA"/>
        </w:rPr>
        <w:t>c)</w:t>
      </w:r>
      <w:bookmarkEnd w:id="441"/>
      <w:r w:rsidRPr="00C85F25">
        <w:rPr>
          <w:lang w:val="fr-CA"/>
        </w:rPr>
        <w:t xml:space="preserve"> toute autre déposition que permettent les arbitres sur présentation de raisons valables. L’arbitre </w:t>
      </w:r>
      <w:r w:rsidR="00744B06">
        <w:rPr>
          <w:lang w:val="fr-CA"/>
        </w:rPr>
        <w:t>sera</w:t>
      </w:r>
      <w:r w:rsidR="00744B06" w:rsidRPr="00C85F25">
        <w:rPr>
          <w:lang w:val="fr-CA"/>
        </w:rPr>
        <w:t xml:space="preserve"> </w:t>
      </w:r>
      <w:r w:rsidRPr="00C85F25">
        <w:rPr>
          <w:lang w:val="fr-CA"/>
        </w:rPr>
        <w:t>tenu de fournir aux parties la justification écrite de sa sentence ou de son ordonnance, et un sténographe judiciaire prend</w:t>
      </w:r>
      <w:r w:rsidR="00744B06">
        <w:rPr>
          <w:lang w:val="fr-CA"/>
        </w:rPr>
        <w:t>ra</w:t>
      </w:r>
      <w:r w:rsidRPr="00C85F25">
        <w:rPr>
          <w:lang w:val="fr-CA"/>
        </w:rPr>
        <w:t xml:space="preserve"> en note toutes les audiences, et le document qui en résulte</w:t>
      </w:r>
      <w:r w:rsidR="00744B06">
        <w:rPr>
          <w:lang w:val="fr-CA"/>
        </w:rPr>
        <w:t>ra</w:t>
      </w:r>
      <w:r w:rsidRPr="00C85F25">
        <w:rPr>
          <w:lang w:val="fr-CA"/>
        </w:rPr>
        <w:t xml:space="preserve"> constitue</w:t>
      </w:r>
      <w:r w:rsidR="00744B06">
        <w:rPr>
          <w:lang w:val="fr-CA"/>
        </w:rPr>
        <w:t>ra</w:t>
      </w:r>
      <w:r w:rsidRPr="00C85F25">
        <w:rPr>
          <w:lang w:val="fr-CA"/>
        </w:rPr>
        <w:t xml:space="preserve"> la transcription officielle de la procédure. </w:t>
      </w:r>
    </w:p>
    <w:p w14:paraId="2C16C83F" w14:textId="564D499F" w:rsidR="00A109D2" w:rsidRPr="00C85F25" w:rsidRDefault="00A109D2">
      <w:pPr>
        <w:pStyle w:val="StandardCont2"/>
        <w:rPr>
          <w:lang w:val="fr-CA"/>
        </w:rPr>
      </w:pPr>
      <w:r w:rsidRPr="00C85F25">
        <w:rPr>
          <w:lang w:val="fr-CA"/>
        </w:rPr>
        <w:t>Chaque partie assume</w:t>
      </w:r>
      <w:r w:rsidR="00744B06">
        <w:rPr>
          <w:lang w:val="fr-CA"/>
        </w:rPr>
        <w:t>ra</w:t>
      </w:r>
      <w:r w:rsidRPr="00C85F25">
        <w:rPr>
          <w:lang w:val="fr-CA"/>
        </w:rPr>
        <w:t xml:space="preserve"> ses propres coûts en ce qui a trait aux différends découlant de la présente Convention. [La partie ayant gain de cause aura droit au remboursement de ses honoraires et frais juridiques raisonnables ainsi que des débours nécessaires outre toute autre mesure de réparation à laquelle cette partie pourrait avoir droit.] </w:t>
      </w:r>
      <w:r w:rsidR="00AC36D3" w:rsidRPr="00C85F25">
        <w:rPr>
          <w:lang w:val="fr-CA"/>
        </w:rPr>
        <w:t>[</w:t>
      </w:r>
      <w:r w:rsidRPr="00C85F25">
        <w:rPr>
          <w:lang w:val="fr-CA"/>
        </w:rPr>
        <w:t>Chacune des parties à la présente Convention consent à la compétence personnelle de tout tribunal compétent dans le cadre d’une action en equity.</w:t>
      </w:r>
      <w:r w:rsidR="00AC36D3" w:rsidRPr="00C85F25">
        <w:rPr>
          <w:lang w:val="fr-CA"/>
        </w:rPr>
        <w:t>]</w:t>
      </w:r>
    </w:p>
    <w:p w14:paraId="0E554760" w14:textId="5B0E18F8" w:rsidR="00037C7E" w:rsidRPr="00E12E2C" w:rsidRDefault="00A14E38">
      <w:pPr>
        <w:pStyle w:val="StandardL2"/>
        <w:rPr>
          <w:lang w:val="fr-CA"/>
        </w:rPr>
      </w:pPr>
      <w:bookmarkStart w:id="442" w:name="_Toc448312496"/>
      <w:bookmarkStart w:id="443" w:name="_Ref448322871"/>
      <w:bookmarkStart w:id="444" w:name="_Toc448326889"/>
      <w:bookmarkStart w:id="445" w:name="_Toc525307233"/>
      <w:bookmarkStart w:id="446" w:name="_Toc130911348"/>
      <w:bookmarkStart w:id="447" w:name="_Ref448380670"/>
      <w:bookmarkStart w:id="448" w:name="_Toc132874770"/>
      <w:r w:rsidRPr="00E12E2C">
        <w:rPr>
          <w:lang w:val="fr-CA"/>
        </w:rPr>
        <w:t>Retards ou omissions.</w:t>
      </w:r>
      <w:bookmarkEnd w:id="442"/>
      <w:bookmarkEnd w:id="443"/>
      <w:bookmarkEnd w:id="444"/>
      <w:bookmarkEnd w:id="445"/>
      <w:bookmarkEnd w:id="446"/>
      <w:bookmarkEnd w:id="447"/>
      <w:bookmarkEnd w:id="448"/>
    </w:p>
    <w:p w14:paraId="2B5250A8" w14:textId="7EEC3A38" w:rsidR="00A14E38" w:rsidRPr="00E12E2C" w:rsidRDefault="00A14E38">
      <w:pPr>
        <w:pStyle w:val="StandardCont2"/>
        <w:rPr>
          <w:snapToGrid w:val="0"/>
          <w:lang w:val="fr-CA"/>
        </w:rPr>
      </w:pPr>
      <w:r w:rsidRPr="00E12E2C">
        <w:rPr>
          <w:snapToGrid w:val="0"/>
          <w:lang w:val="fr-CA"/>
        </w:rPr>
        <w:t xml:space="preserve">Aucun retard dans l’exercice d’un droit, d’un pouvoir ou d’un recours dont jouit une partie aux termes de la présente Convention en cas de manquement ou de défaut de toute autre partie à l’égard de la présente Convention ni aucune omission d’exercer un tel droit, pouvoir ou recours ne porteront atteinte au droit, pouvoir ou recours de la partie qui n’enfreint pas la présente Convention ni ne seront interprétés comme une renonciation à faire corriger un tel manquement ou défaut ou un manquement ou un défaut similaire qui pourrait survenir par la suite, ou comme un consentement à cet égard, et une renonciation à faire corriger un manquement ou un défaut n’est pas réputée constituer une renonciation à faire corriger tout autre manquement ou défaut survenu auparavant ou par la suite. Tous les recours prévus </w:t>
      </w:r>
      <w:r w:rsidR="00531EBE" w:rsidRPr="00E12E2C">
        <w:rPr>
          <w:snapToGrid w:val="0"/>
          <w:lang w:val="fr-CA"/>
        </w:rPr>
        <w:t>par</w:t>
      </w:r>
      <w:r w:rsidRPr="00E12E2C">
        <w:rPr>
          <w:snapToGrid w:val="0"/>
          <w:lang w:val="fr-CA"/>
        </w:rPr>
        <w:t xml:space="preserve"> la présente Convention ou par la loi ou dont dispose par ailleurs une partie sont cumulatifs et non </w:t>
      </w:r>
      <w:r w:rsidR="00531EBE" w:rsidRPr="00E12E2C">
        <w:rPr>
          <w:snapToGrid w:val="0"/>
          <w:lang w:val="fr-CA"/>
        </w:rPr>
        <w:t>exclusifs</w:t>
      </w:r>
      <w:r w:rsidRPr="00E12E2C">
        <w:rPr>
          <w:snapToGrid w:val="0"/>
          <w:lang w:val="fr-CA"/>
        </w:rPr>
        <w:t>.</w:t>
      </w:r>
    </w:p>
    <w:p w14:paraId="28C3094D" w14:textId="7F3681E9" w:rsidR="00037C7E" w:rsidRPr="00986BEB" w:rsidRDefault="000B08F2">
      <w:pPr>
        <w:pStyle w:val="StandardL2"/>
        <w:rPr>
          <w:lang w:val="fr-CA"/>
        </w:rPr>
      </w:pPr>
      <w:bookmarkStart w:id="449" w:name="_Ref448380671"/>
      <w:bookmarkStart w:id="450" w:name="_Toc132874771"/>
      <w:r w:rsidRPr="009D4254">
        <w:rPr>
          <w:lang w:val="fr-CA"/>
        </w:rPr>
        <w:t>[</w:t>
      </w:r>
      <w:r w:rsidR="0094159E">
        <w:rPr>
          <w:lang w:val="fr-CA"/>
        </w:rPr>
        <w:t>Reconnaissance</w:t>
      </w:r>
      <w:r w:rsidRPr="009D4254">
        <w:rPr>
          <w:snapToGrid w:val="0"/>
          <w:lang w:val="fr-CA"/>
        </w:rPr>
        <w:t>.</w:t>
      </w:r>
      <w:bookmarkEnd w:id="449"/>
      <w:bookmarkEnd w:id="450"/>
    </w:p>
    <w:p w14:paraId="5D488CF0" w14:textId="10811F6D" w:rsidR="00037C7E" w:rsidRPr="0059083D" w:rsidRDefault="0086447B">
      <w:pPr>
        <w:pStyle w:val="StandardCont2"/>
        <w:rPr>
          <w:snapToGrid w:val="0"/>
          <w:lang w:val="fr-CA"/>
        </w:rPr>
      </w:pPr>
      <w:r w:rsidRPr="009D4254">
        <w:rPr>
          <w:snapToGrid w:val="0"/>
          <w:lang w:val="fr-CA"/>
        </w:rPr>
        <w:t xml:space="preserve">La Société reconnaît que les Investisseurs exercent des activités </w:t>
      </w:r>
      <w:r w:rsidR="00E95CC6">
        <w:rPr>
          <w:snapToGrid w:val="0"/>
          <w:lang w:val="fr-CA"/>
        </w:rPr>
        <w:t xml:space="preserve">de </w:t>
      </w:r>
      <w:r w:rsidRPr="009D4254">
        <w:rPr>
          <w:snapToGrid w:val="0"/>
          <w:lang w:val="fr-CA"/>
        </w:rPr>
        <w:t xml:space="preserve">placement </w:t>
      </w:r>
      <w:r w:rsidR="00E95CC6">
        <w:rPr>
          <w:snapToGrid w:val="0"/>
          <w:lang w:val="fr-CA"/>
        </w:rPr>
        <w:t>en</w:t>
      </w:r>
      <w:r w:rsidRPr="009D4254">
        <w:rPr>
          <w:snapToGrid w:val="0"/>
          <w:lang w:val="fr-CA"/>
        </w:rPr>
        <w:t xml:space="preserve"> capital de risque et que, par conséquent, ils examinent les plans d’affaires et les renseignements exclusifs connexes de nombreuses entreprises, y compris des entreprises dont les produits ou services peuvent faire concurrence, directement ou indirectement, à ceux de la Société.</w:t>
      </w:r>
      <w:r w:rsidR="000B08F2" w:rsidRPr="0059083D">
        <w:rPr>
          <w:snapToGrid w:val="0"/>
          <w:lang w:val="fr-CA"/>
        </w:rPr>
        <w:t xml:space="preserve"> </w:t>
      </w:r>
      <w:r w:rsidRPr="009D4254">
        <w:rPr>
          <w:snapToGrid w:val="0"/>
          <w:lang w:val="fr-CA"/>
        </w:rPr>
        <w:t>Aucune disposition de la présente Convention n’empêche de quelque façon que ce soit les Investisseurs d’investir dans une entreprise en particulier ou d’y participer, ni ne leur impose de</w:t>
      </w:r>
      <w:r w:rsidR="00E95CC6">
        <w:rPr>
          <w:snapToGrid w:val="0"/>
          <w:lang w:val="fr-CA"/>
        </w:rPr>
        <w:t>s</w:t>
      </w:r>
      <w:r w:rsidRPr="009D4254">
        <w:rPr>
          <w:snapToGrid w:val="0"/>
          <w:lang w:val="fr-CA"/>
        </w:rPr>
        <w:t xml:space="preserve"> restrictions à cet égard, que cette entreprise ait ou non des produits ou des services qui font concurrence à ceux de la Société.]</w:t>
      </w:r>
    </w:p>
    <w:p w14:paraId="4353B558" w14:textId="229A3432" w:rsidR="009D1B07" w:rsidRPr="00986BEB" w:rsidRDefault="000B08F2" w:rsidP="009D1B07">
      <w:pPr>
        <w:pStyle w:val="StandardL2"/>
        <w:rPr>
          <w:lang w:val="fr-CA"/>
        </w:rPr>
      </w:pPr>
      <w:bookmarkStart w:id="451" w:name="_Toc132874772"/>
      <w:r w:rsidRPr="009D4254">
        <w:rPr>
          <w:lang w:val="fr-CA"/>
        </w:rPr>
        <w:t>[</w:t>
      </w:r>
      <w:r w:rsidR="0086447B" w:rsidRPr="009D4254">
        <w:rPr>
          <w:lang w:val="fr-CA"/>
        </w:rPr>
        <w:t>Convention unanime des actionnaires</w:t>
      </w:r>
      <w:r w:rsidRPr="00986BEB">
        <w:rPr>
          <w:rStyle w:val="FootnoteReference"/>
          <w:snapToGrid w:val="0"/>
          <w:lang w:val="fr-CA"/>
        </w:rPr>
        <w:footnoteReference w:id="75"/>
      </w:r>
      <w:r w:rsidR="0094159E">
        <w:rPr>
          <w:lang w:val="fr-CA"/>
        </w:rPr>
        <w:t>.</w:t>
      </w:r>
      <w:bookmarkEnd w:id="451"/>
    </w:p>
    <w:p w14:paraId="7D60C8DB" w14:textId="34C471AA" w:rsidR="009D1B07" w:rsidRPr="009D4254" w:rsidRDefault="000B08F2" w:rsidP="009D1B07">
      <w:pPr>
        <w:pStyle w:val="StandardCont2"/>
        <w:rPr>
          <w:snapToGrid w:val="0"/>
          <w:lang w:val="fr-CA"/>
        </w:rPr>
      </w:pPr>
      <w:r w:rsidRPr="009D4254">
        <w:rPr>
          <w:snapToGrid w:val="0"/>
          <w:lang w:val="fr-CA"/>
        </w:rPr>
        <w:t xml:space="preserve">La présente Convention[, </w:t>
      </w:r>
      <w:r w:rsidR="0086447B" w:rsidRPr="009D4254">
        <w:rPr>
          <w:snapToGrid w:val="0"/>
          <w:lang w:val="fr-CA"/>
        </w:rPr>
        <w:t xml:space="preserve">avec la Convention </w:t>
      </w:r>
      <w:r w:rsidR="00E95CC6">
        <w:rPr>
          <w:snapToGrid w:val="0"/>
          <w:lang w:val="fr-CA"/>
        </w:rPr>
        <w:t>de</w:t>
      </w:r>
      <w:r w:rsidR="0086447B" w:rsidRPr="009D4254">
        <w:rPr>
          <w:snapToGrid w:val="0"/>
          <w:lang w:val="fr-CA"/>
        </w:rPr>
        <w:t xml:space="preserve"> droit de premier refus et de vente conjointe </w:t>
      </w:r>
      <w:r w:rsidRPr="009D4254">
        <w:rPr>
          <w:snapToGrid w:val="0"/>
          <w:lang w:val="fr-CA"/>
        </w:rPr>
        <w:t>[</w:t>
      </w:r>
      <w:r w:rsidR="0086447B" w:rsidRPr="009D4254">
        <w:rPr>
          <w:snapToGrid w:val="0"/>
          <w:lang w:val="fr-CA"/>
        </w:rPr>
        <w:t>modifiée et mise à jour</w:t>
      </w:r>
      <w:r w:rsidRPr="009D4254">
        <w:rPr>
          <w:snapToGrid w:val="0"/>
          <w:lang w:val="fr-CA"/>
        </w:rPr>
        <w:t xml:space="preserve">] </w:t>
      </w:r>
      <w:r w:rsidR="0086447B" w:rsidRPr="009D4254">
        <w:rPr>
          <w:snapToGrid w:val="0"/>
          <w:lang w:val="fr-CA"/>
        </w:rPr>
        <w:t xml:space="preserve">et la Convention de vote </w:t>
      </w:r>
      <w:r w:rsidRPr="009D4254">
        <w:rPr>
          <w:snapToGrid w:val="0"/>
          <w:lang w:val="fr-CA"/>
        </w:rPr>
        <w:t>[</w:t>
      </w:r>
      <w:r w:rsidR="0086447B" w:rsidRPr="009D4254">
        <w:rPr>
          <w:snapToGrid w:val="0"/>
          <w:lang w:val="fr-CA"/>
        </w:rPr>
        <w:t>modifiée et mise à jour</w:t>
      </w:r>
      <w:r w:rsidRPr="009D4254">
        <w:rPr>
          <w:snapToGrid w:val="0"/>
          <w:lang w:val="fr-CA"/>
        </w:rPr>
        <w:t>]</w:t>
      </w:r>
      <w:r w:rsidR="0086447B" w:rsidRPr="009D4254">
        <w:rPr>
          <w:snapToGrid w:val="0"/>
          <w:lang w:val="fr-CA"/>
        </w:rPr>
        <w:t>,</w:t>
      </w:r>
      <w:r w:rsidRPr="009D4254">
        <w:rPr>
          <w:snapToGrid w:val="0"/>
          <w:lang w:val="fr-CA"/>
        </w:rPr>
        <w:t xml:space="preserve">] </w:t>
      </w:r>
      <w:r w:rsidR="0086447B" w:rsidRPr="009D4254">
        <w:rPr>
          <w:snapToGrid w:val="0"/>
          <w:lang w:val="fr-CA"/>
        </w:rPr>
        <w:t>est réputée constituer une convention unanime des actionnaires au sens de la Loi</w:t>
      </w:r>
      <w:r w:rsidR="00E95CC6">
        <w:rPr>
          <w:snapToGrid w:val="0"/>
          <w:lang w:val="fr-CA"/>
        </w:rPr>
        <w:t>.</w:t>
      </w:r>
      <w:r w:rsidRPr="009D4254">
        <w:rPr>
          <w:snapToGrid w:val="0"/>
          <w:lang w:val="fr-CA"/>
        </w:rPr>
        <w:t>]</w:t>
      </w:r>
    </w:p>
    <w:p w14:paraId="05067C3D" w14:textId="0772E01D" w:rsidR="00037C7E" w:rsidRPr="009D4254" w:rsidRDefault="000B08F2">
      <w:pPr>
        <w:pStyle w:val="RemainderofPageText-CBI"/>
        <w:rPr>
          <w:lang w:val="fr-CA"/>
        </w:rPr>
      </w:pPr>
      <w:r w:rsidRPr="009D4254">
        <w:rPr>
          <w:lang w:val="fr-CA"/>
        </w:rPr>
        <w:t>[</w:t>
      </w:r>
      <w:r w:rsidR="0086447B" w:rsidRPr="009D4254">
        <w:rPr>
          <w:lang w:val="fr-CA"/>
        </w:rPr>
        <w:t>La page de signature suit.</w:t>
      </w:r>
      <w:r w:rsidRPr="009D4254">
        <w:rPr>
          <w:lang w:val="fr-CA"/>
        </w:rPr>
        <w:t>]</w:t>
      </w:r>
    </w:p>
    <w:p w14:paraId="64D8DB3E" w14:textId="77777777" w:rsidR="00037C7E" w:rsidRPr="0059083D" w:rsidRDefault="00037C7E">
      <w:pPr>
        <w:rPr>
          <w:lang w:val="fr-CA"/>
        </w:rPr>
      </w:pPr>
    </w:p>
    <w:p w14:paraId="6E5FC45E" w14:textId="77777777" w:rsidR="00037C7E" w:rsidRPr="0059083D" w:rsidRDefault="00037C7E">
      <w:pPr>
        <w:rPr>
          <w:lang w:val="fr-CA"/>
        </w:rPr>
        <w:sectPr w:rsidR="00037C7E" w:rsidRPr="0059083D">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ols w:space="720"/>
          <w:titlePg/>
          <w:docGrid w:linePitch="360"/>
        </w:sectPr>
      </w:pPr>
    </w:p>
    <w:p w14:paraId="6AFD4B19" w14:textId="48326EE4" w:rsidR="00037C7E" w:rsidRPr="0059083D" w:rsidRDefault="002B4898">
      <w:pPr>
        <w:pStyle w:val="BodyText-FLI-10"/>
        <w:rPr>
          <w:lang w:val="fr-CA"/>
        </w:rPr>
      </w:pPr>
      <w:r w:rsidRPr="002B4898">
        <w:rPr>
          <w:lang w:val="fr-CA"/>
        </w:rPr>
        <w:t>EN FOI DE QUOI, les parties ont signé la présente Convention relative aux droits des investisseurs [modifiée et mise à jour] à la date indiquée à la première page.</w:t>
      </w:r>
    </w:p>
    <w:p w14:paraId="1236EF27" w14:textId="77777777" w:rsidR="00037C7E" w:rsidRPr="0059083D" w:rsidRDefault="00037C7E">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856"/>
        <w:gridCol w:w="3894"/>
      </w:tblGrid>
      <w:tr w:rsidR="006500EB" w:rsidRPr="00EC10D0" w14:paraId="61910701" w14:textId="77777777">
        <w:tc>
          <w:tcPr>
            <w:tcW w:w="4600" w:type="dxa"/>
          </w:tcPr>
          <w:p w14:paraId="60816263" w14:textId="77777777" w:rsidR="00037C7E" w:rsidRPr="0059083D" w:rsidRDefault="00037C7E">
            <w:pPr>
              <w:pStyle w:val="TblTxt-Basic"/>
              <w:rPr>
                <w:lang w:val="fr-CA"/>
              </w:rPr>
            </w:pPr>
          </w:p>
        </w:tc>
        <w:tc>
          <w:tcPr>
            <w:tcW w:w="4750" w:type="dxa"/>
            <w:gridSpan w:val="2"/>
          </w:tcPr>
          <w:p w14:paraId="5EA86B25" w14:textId="1619959D" w:rsidR="001256C3" w:rsidRPr="0059083D" w:rsidRDefault="0086447B">
            <w:pPr>
              <w:pStyle w:val="TblTxt-Basic"/>
              <w:rPr>
                <w:szCs w:val="20"/>
                <w:lang w:val="fr-CA"/>
              </w:rPr>
            </w:pPr>
            <w:r>
              <w:rPr>
                <w:szCs w:val="20"/>
                <w:lang w:val="fr-CA"/>
              </w:rPr>
              <w:t>SOCIÉTÉ</w:t>
            </w:r>
          </w:p>
          <w:p w14:paraId="7E235BF4" w14:textId="77777777" w:rsidR="001256C3" w:rsidRPr="0059083D" w:rsidRDefault="001256C3">
            <w:pPr>
              <w:pStyle w:val="TblTxt-Basic"/>
              <w:rPr>
                <w:szCs w:val="20"/>
                <w:lang w:val="fr-CA"/>
              </w:rPr>
            </w:pPr>
          </w:p>
          <w:p w14:paraId="2D8BA6F6" w14:textId="660B652A" w:rsidR="00037C7E" w:rsidRPr="009D4254" w:rsidRDefault="000B08F2">
            <w:pPr>
              <w:pStyle w:val="TblTxt-Basic"/>
              <w:rPr>
                <w:lang w:val="fr-CA"/>
              </w:rPr>
            </w:pPr>
            <w:r w:rsidRPr="009D4254">
              <w:rPr>
                <w:i/>
                <w:szCs w:val="20"/>
                <w:lang w:val="fr-CA"/>
              </w:rPr>
              <w:t>[</w:t>
            </w:r>
            <w:r w:rsidR="0086447B" w:rsidRPr="009D4254">
              <w:rPr>
                <w:i/>
                <w:szCs w:val="20"/>
                <w:lang w:val="fr-CA"/>
              </w:rPr>
              <w:t>Indiquer la dénomination de la Société</w:t>
            </w:r>
            <w:r w:rsidRPr="009D4254">
              <w:rPr>
                <w:i/>
                <w:szCs w:val="20"/>
                <w:lang w:val="fr-CA"/>
              </w:rPr>
              <w:t>]</w:t>
            </w:r>
          </w:p>
        </w:tc>
      </w:tr>
      <w:tr w:rsidR="006500EB" w:rsidRPr="00EC10D0" w14:paraId="790612D2" w14:textId="77777777">
        <w:tc>
          <w:tcPr>
            <w:tcW w:w="4600" w:type="dxa"/>
          </w:tcPr>
          <w:p w14:paraId="13C690D3" w14:textId="77777777" w:rsidR="00037C7E" w:rsidRPr="0059083D" w:rsidRDefault="00037C7E">
            <w:pPr>
              <w:pStyle w:val="TblTxt-Basic"/>
              <w:rPr>
                <w:lang w:val="fr-CA"/>
              </w:rPr>
            </w:pPr>
          </w:p>
        </w:tc>
        <w:tc>
          <w:tcPr>
            <w:tcW w:w="856" w:type="dxa"/>
          </w:tcPr>
          <w:p w14:paraId="43AEB1DD" w14:textId="77777777" w:rsidR="00037C7E" w:rsidRPr="0059083D" w:rsidRDefault="00037C7E">
            <w:pPr>
              <w:pStyle w:val="TblTxt-Basic"/>
              <w:rPr>
                <w:lang w:val="fr-CA"/>
              </w:rPr>
            </w:pPr>
          </w:p>
        </w:tc>
        <w:tc>
          <w:tcPr>
            <w:tcW w:w="3894" w:type="dxa"/>
          </w:tcPr>
          <w:p w14:paraId="1FEA4281" w14:textId="77777777" w:rsidR="00037C7E" w:rsidRPr="0059083D" w:rsidRDefault="00037C7E">
            <w:pPr>
              <w:pStyle w:val="TblTxt-Basic"/>
              <w:rPr>
                <w:lang w:val="fr-CA"/>
              </w:rPr>
            </w:pPr>
          </w:p>
        </w:tc>
      </w:tr>
      <w:tr w:rsidR="006500EB" w:rsidRPr="00EC10D0" w14:paraId="06560190" w14:textId="77777777">
        <w:tc>
          <w:tcPr>
            <w:tcW w:w="4600" w:type="dxa"/>
          </w:tcPr>
          <w:p w14:paraId="790CF8D3" w14:textId="77777777" w:rsidR="00037C7E" w:rsidRPr="0059083D" w:rsidRDefault="00037C7E">
            <w:pPr>
              <w:pStyle w:val="TblTxt-Basic"/>
              <w:rPr>
                <w:lang w:val="fr-CA"/>
              </w:rPr>
            </w:pPr>
          </w:p>
        </w:tc>
        <w:tc>
          <w:tcPr>
            <w:tcW w:w="856" w:type="dxa"/>
          </w:tcPr>
          <w:p w14:paraId="01B29E48" w14:textId="77777777" w:rsidR="00037C7E" w:rsidRPr="0059083D" w:rsidRDefault="00037C7E">
            <w:pPr>
              <w:pStyle w:val="TblTxt-Basic"/>
              <w:rPr>
                <w:lang w:val="fr-CA"/>
              </w:rPr>
            </w:pPr>
          </w:p>
        </w:tc>
        <w:tc>
          <w:tcPr>
            <w:tcW w:w="3894" w:type="dxa"/>
          </w:tcPr>
          <w:p w14:paraId="3C6EEBBA" w14:textId="77777777" w:rsidR="00037C7E" w:rsidRPr="0059083D" w:rsidRDefault="00037C7E">
            <w:pPr>
              <w:pStyle w:val="TblTxt-Basic"/>
              <w:rPr>
                <w:lang w:val="fr-CA"/>
              </w:rPr>
            </w:pPr>
          </w:p>
        </w:tc>
      </w:tr>
      <w:tr w:rsidR="006500EB" w:rsidRPr="0059083D" w14:paraId="18F41221" w14:textId="77777777">
        <w:tc>
          <w:tcPr>
            <w:tcW w:w="4600" w:type="dxa"/>
          </w:tcPr>
          <w:p w14:paraId="2C86A444" w14:textId="77777777" w:rsidR="00037C7E" w:rsidRPr="0059083D" w:rsidRDefault="00037C7E">
            <w:pPr>
              <w:pStyle w:val="TblTxt-Basic"/>
              <w:rPr>
                <w:lang w:val="fr-CA"/>
              </w:rPr>
            </w:pPr>
          </w:p>
        </w:tc>
        <w:tc>
          <w:tcPr>
            <w:tcW w:w="856" w:type="dxa"/>
          </w:tcPr>
          <w:p w14:paraId="44588BF6" w14:textId="21EABFA1" w:rsidR="00037C7E" w:rsidRPr="009D4254" w:rsidRDefault="0086447B">
            <w:pPr>
              <w:pStyle w:val="TblTxt-Basic"/>
              <w:rPr>
                <w:lang w:val="fr-CA"/>
              </w:rPr>
            </w:pPr>
            <w:r w:rsidRPr="009D4254">
              <w:rPr>
                <w:lang w:val="fr-CA"/>
              </w:rPr>
              <w:t>Par </w:t>
            </w:r>
            <w:r w:rsidR="000B08F2" w:rsidRPr="009D4254">
              <w:rPr>
                <w:lang w:val="fr-CA"/>
              </w:rPr>
              <w:t>:</w:t>
            </w:r>
          </w:p>
        </w:tc>
        <w:tc>
          <w:tcPr>
            <w:tcW w:w="3894" w:type="dxa"/>
            <w:tcBorders>
              <w:bottom w:val="single" w:sz="4" w:space="0" w:color="auto"/>
            </w:tcBorders>
          </w:tcPr>
          <w:p w14:paraId="13FE2C3E" w14:textId="77777777" w:rsidR="00037C7E" w:rsidRPr="0059083D" w:rsidRDefault="00037C7E">
            <w:pPr>
              <w:pStyle w:val="TblTxt-Basic"/>
              <w:rPr>
                <w:lang w:val="fr-CA"/>
              </w:rPr>
            </w:pPr>
          </w:p>
        </w:tc>
      </w:tr>
      <w:tr w:rsidR="006500EB" w:rsidRPr="0059083D" w14:paraId="3F684D84" w14:textId="77777777">
        <w:tc>
          <w:tcPr>
            <w:tcW w:w="4600" w:type="dxa"/>
          </w:tcPr>
          <w:p w14:paraId="66683A07" w14:textId="77777777" w:rsidR="00037C7E" w:rsidRPr="0059083D" w:rsidRDefault="00037C7E">
            <w:pPr>
              <w:pStyle w:val="TblTxt-Basic"/>
              <w:rPr>
                <w:lang w:val="fr-CA"/>
              </w:rPr>
            </w:pPr>
          </w:p>
        </w:tc>
        <w:tc>
          <w:tcPr>
            <w:tcW w:w="856" w:type="dxa"/>
          </w:tcPr>
          <w:p w14:paraId="478707AB" w14:textId="77777777" w:rsidR="00037C7E" w:rsidRPr="0059083D" w:rsidRDefault="00037C7E">
            <w:pPr>
              <w:pStyle w:val="TblTxt-Basic"/>
              <w:rPr>
                <w:lang w:val="fr-CA"/>
              </w:rPr>
            </w:pPr>
          </w:p>
        </w:tc>
        <w:tc>
          <w:tcPr>
            <w:tcW w:w="3894" w:type="dxa"/>
            <w:tcBorders>
              <w:top w:val="single" w:sz="4" w:space="0" w:color="auto"/>
            </w:tcBorders>
          </w:tcPr>
          <w:p w14:paraId="223DFEE5" w14:textId="77777777" w:rsidR="00037C7E" w:rsidRPr="0059083D" w:rsidRDefault="00037C7E">
            <w:pPr>
              <w:pStyle w:val="TblTxt-Basic"/>
              <w:rPr>
                <w:lang w:val="fr-CA"/>
              </w:rPr>
            </w:pPr>
          </w:p>
        </w:tc>
      </w:tr>
      <w:tr w:rsidR="006500EB" w:rsidRPr="0059083D" w14:paraId="09440954" w14:textId="77777777">
        <w:tc>
          <w:tcPr>
            <w:tcW w:w="4600" w:type="dxa"/>
          </w:tcPr>
          <w:p w14:paraId="1F728EE2" w14:textId="77777777" w:rsidR="00037C7E" w:rsidRPr="0059083D" w:rsidRDefault="00037C7E">
            <w:pPr>
              <w:pStyle w:val="TblTxt-Basic"/>
              <w:rPr>
                <w:lang w:val="fr-CA"/>
              </w:rPr>
            </w:pPr>
          </w:p>
        </w:tc>
        <w:tc>
          <w:tcPr>
            <w:tcW w:w="856" w:type="dxa"/>
          </w:tcPr>
          <w:p w14:paraId="08E023FC" w14:textId="0396F9AB" w:rsidR="00037C7E" w:rsidRPr="009D4254" w:rsidRDefault="000B08F2">
            <w:pPr>
              <w:pStyle w:val="TblTxt-Basic"/>
              <w:rPr>
                <w:lang w:val="fr-CA"/>
              </w:rPr>
            </w:pPr>
            <w:r w:rsidRPr="009D4254">
              <w:rPr>
                <w:lang w:val="fr-CA"/>
              </w:rPr>
              <w:t>N</w:t>
            </w:r>
            <w:r w:rsidR="0086447B" w:rsidRPr="009D4254">
              <w:rPr>
                <w:lang w:val="fr-CA"/>
              </w:rPr>
              <w:t>om </w:t>
            </w:r>
            <w:r w:rsidRPr="009D4254">
              <w:rPr>
                <w:lang w:val="fr-CA"/>
              </w:rPr>
              <w:t>:</w:t>
            </w:r>
          </w:p>
        </w:tc>
        <w:tc>
          <w:tcPr>
            <w:tcW w:w="3894" w:type="dxa"/>
            <w:tcBorders>
              <w:bottom w:val="single" w:sz="4" w:space="0" w:color="auto"/>
            </w:tcBorders>
          </w:tcPr>
          <w:p w14:paraId="19D130A6" w14:textId="77777777" w:rsidR="00037C7E" w:rsidRPr="0059083D" w:rsidRDefault="00037C7E">
            <w:pPr>
              <w:pStyle w:val="TblTxt-Basic"/>
              <w:rPr>
                <w:lang w:val="fr-CA"/>
              </w:rPr>
            </w:pPr>
          </w:p>
        </w:tc>
      </w:tr>
      <w:tr w:rsidR="006500EB" w:rsidRPr="0059083D" w14:paraId="15DF1E70" w14:textId="77777777">
        <w:tc>
          <w:tcPr>
            <w:tcW w:w="4600" w:type="dxa"/>
          </w:tcPr>
          <w:p w14:paraId="122697C3" w14:textId="77777777" w:rsidR="00037C7E" w:rsidRPr="0059083D" w:rsidRDefault="00037C7E">
            <w:pPr>
              <w:pStyle w:val="TblTxt-Basic"/>
              <w:rPr>
                <w:lang w:val="fr-CA"/>
              </w:rPr>
            </w:pPr>
          </w:p>
        </w:tc>
        <w:tc>
          <w:tcPr>
            <w:tcW w:w="856" w:type="dxa"/>
          </w:tcPr>
          <w:p w14:paraId="6D98C8D0" w14:textId="77777777" w:rsidR="00037C7E" w:rsidRPr="0059083D" w:rsidRDefault="00037C7E">
            <w:pPr>
              <w:pStyle w:val="TblTxt-Basic"/>
              <w:rPr>
                <w:lang w:val="fr-CA"/>
              </w:rPr>
            </w:pPr>
          </w:p>
        </w:tc>
        <w:tc>
          <w:tcPr>
            <w:tcW w:w="3894" w:type="dxa"/>
            <w:tcBorders>
              <w:top w:val="single" w:sz="4" w:space="0" w:color="auto"/>
            </w:tcBorders>
          </w:tcPr>
          <w:p w14:paraId="195CBD84" w14:textId="77777777" w:rsidR="00037C7E" w:rsidRPr="0059083D" w:rsidRDefault="00037C7E">
            <w:pPr>
              <w:pStyle w:val="TblTxt-Basic"/>
              <w:rPr>
                <w:lang w:val="fr-CA"/>
              </w:rPr>
            </w:pPr>
          </w:p>
        </w:tc>
      </w:tr>
      <w:tr w:rsidR="006500EB" w:rsidRPr="0059083D" w14:paraId="45A600FC" w14:textId="77777777">
        <w:tc>
          <w:tcPr>
            <w:tcW w:w="4600" w:type="dxa"/>
          </w:tcPr>
          <w:p w14:paraId="2B9F6BFB" w14:textId="77777777" w:rsidR="00037C7E" w:rsidRPr="0059083D" w:rsidRDefault="00037C7E">
            <w:pPr>
              <w:pStyle w:val="TblTxt-Basic"/>
              <w:rPr>
                <w:lang w:val="fr-CA"/>
              </w:rPr>
            </w:pPr>
          </w:p>
        </w:tc>
        <w:tc>
          <w:tcPr>
            <w:tcW w:w="856" w:type="dxa"/>
          </w:tcPr>
          <w:p w14:paraId="1DFE45FE" w14:textId="024617FD" w:rsidR="00037C7E" w:rsidRPr="009D4254" w:rsidRDefault="000B08F2">
            <w:pPr>
              <w:pStyle w:val="TblTxt-Basic"/>
              <w:rPr>
                <w:lang w:val="fr-CA"/>
              </w:rPr>
            </w:pPr>
            <w:r w:rsidRPr="009D4254">
              <w:rPr>
                <w:lang w:val="fr-CA"/>
              </w:rPr>
              <w:t>Tit</w:t>
            </w:r>
            <w:r w:rsidR="0086447B" w:rsidRPr="009D4254">
              <w:rPr>
                <w:lang w:val="fr-CA"/>
              </w:rPr>
              <w:t>re </w:t>
            </w:r>
            <w:r w:rsidRPr="009D4254">
              <w:rPr>
                <w:lang w:val="fr-CA"/>
              </w:rPr>
              <w:t>:</w:t>
            </w:r>
          </w:p>
        </w:tc>
        <w:tc>
          <w:tcPr>
            <w:tcW w:w="3894" w:type="dxa"/>
            <w:tcBorders>
              <w:bottom w:val="single" w:sz="4" w:space="0" w:color="auto"/>
            </w:tcBorders>
          </w:tcPr>
          <w:p w14:paraId="3ECFD187" w14:textId="77777777" w:rsidR="00037C7E" w:rsidRPr="0059083D" w:rsidRDefault="00037C7E">
            <w:pPr>
              <w:pStyle w:val="TblTxt-Basic"/>
              <w:rPr>
                <w:lang w:val="fr-CA"/>
              </w:rPr>
            </w:pPr>
          </w:p>
        </w:tc>
      </w:tr>
      <w:tr w:rsidR="006500EB" w:rsidRPr="0059083D" w14:paraId="5553ADC7" w14:textId="77777777">
        <w:tc>
          <w:tcPr>
            <w:tcW w:w="4600" w:type="dxa"/>
          </w:tcPr>
          <w:p w14:paraId="0C808E54" w14:textId="77777777" w:rsidR="00037C7E" w:rsidRPr="0059083D" w:rsidRDefault="00037C7E">
            <w:pPr>
              <w:pStyle w:val="TblTxt-Basic"/>
              <w:rPr>
                <w:lang w:val="fr-CA"/>
              </w:rPr>
            </w:pPr>
          </w:p>
        </w:tc>
        <w:tc>
          <w:tcPr>
            <w:tcW w:w="856" w:type="dxa"/>
          </w:tcPr>
          <w:p w14:paraId="3AE0EAA2" w14:textId="77777777" w:rsidR="00037C7E" w:rsidRPr="0059083D" w:rsidRDefault="00037C7E">
            <w:pPr>
              <w:pStyle w:val="TblTxt-Basic"/>
              <w:rPr>
                <w:lang w:val="fr-CA"/>
              </w:rPr>
            </w:pPr>
          </w:p>
        </w:tc>
        <w:tc>
          <w:tcPr>
            <w:tcW w:w="3894" w:type="dxa"/>
            <w:tcBorders>
              <w:top w:val="single" w:sz="4" w:space="0" w:color="auto"/>
            </w:tcBorders>
          </w:tcPr>
          <w:p w14:paraId="61961294" w14:textId="77777777" w:rsidR="00037C7E" w:rsidRPr="0059083D" w:rsidRDefault="00037C7E">
            <w:pPr>
              <w:pStyle w:val="TblTxt-Basic"/>
              <w:rPr>
                <w:lang w:val="fr-CA"/>
              </w:rPr>
            </w:pPr>
          </w:p>
        </w:tc>
      </w:tr>
      <w:tr w:rsidR="006500EB" w:rsidRPr="0059083D" w14:paraId="2E3FDDFC" w14:textId="77777777">
        <w:tc>
          <w:tcPr>
            <w:tcW w:w="4600" w:type="dxa"/>
          </w:tcPr>
          <w:p w14:paraId="063E885C" w14:textId="77777777" w:rsidR="00037C7E" w:rsidRPr="0059083D" w:rsidRDefault="00037C7E">
            <w:pPr>
              <w:pStyle w:val="TblTxt-Basic"/>
              <w:rPr>
                <w:lang w:val="fr-CA"/>
              </w:rPr>
            </w:pPr>
          </w:p>
        </w:tc>
        <w:tc>
          <w:tcPr>
            <w:tcW w:w="856" w:type="dxa"/>
          </w:tcPr>
          <w:p w14:paraId="2801D577" w14:textId="77777777" w:rsidR="00037C7E" w:rsidRPr="0059083D" w:rsidRDefault="00037C7E">
            <w:pPr>
              <w:pStyle w:val="TblTxt-Basic"/>
              <w:rPr>
                <w:lang w:val="fr-CA"/>
              </w:rPr>
            </w:pPr>
          </w:p>
        </w:tc>
        <w:tc>
          <w:tcPr>
            <w:tcW w:w="3894" w:type="dxa"/>
          </w:tcPr>
          <w:p w14:paraId="6966F7DE" w14:textId="77777777" w:rsidR="00037C7E" w:rsidRPr="0059083D" w:rsidRDefault="00037C7E">
            <w:pPr>
              <w:pStyle w:val="TblTxt-Basic"/>
              <w:rPr>
                <w:lang w:val="fr-CA"/>
              </w:rPr>
            </w:pPr>
          </w:p>
        </w:tc>
      </w:tr>
    </w:tbl>
    <w:p w14:paraId="6333DA52" w14:textId="77777777" w:rsidR="00037C7E" w:rsidRPr="0059083D" w:rsidRDefault="00037C7E">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856"/>
        <w:gridCol w:w="3894"/>
      </w:tblGrid>
      <w:tr w:rsidR="006500EB" w:rsidRPr="0059083D" w14:paraId="46C8A2E3" w14:textId="77777777">
        <w:tc>
          <w:tcPr>
            <w:tcW w:w="4600" w:type="dxa"/>
          </w:tcPr>
          <w:p w14:paraId="574B6A75" w14:textId="77777777" w:rsidR="00037C7E" w:rsidRPr="0059083D" w:rsidRDefault="00037C7E">
            <w:pPr>
              <w:pStyle w:val="TblTxt-Basic"/>
              <w:rPr>
                <w:lang w:val="fr-CA"/>
              </w:rPr>
            </w:pPr>
          </w:p>
        </w:tc>
        <w:tc>
          <w:tcPr>
            <w:tcW w:w="4750" w:type="dxa"/>
            <w:gridSpan w:val="2"/>
          </w:tcPr>
          <w:p w14:paraId="033FEF36" w14:textId="6097D862" w:rsidR="00037C7E" w:rsidRPr="009D4254" w:rsidRDefault="002B4898">
            <w:pPr>
              <w:pStyle w:val="TblTxt-Basic"/>
              <w:rPr>
                <w:iCs/>
                <w:lang w:val="fr-CA"/>
              </w:rPr>
            </w:pPr>
            <w:r>
              <w:rPr>
                <w:iCs/>
                <w:szCs w:val="20"/>
                <w:lang w:val="fr-CA"/>
              </w:rPr>
              <w:t>[</w:t>
            </w:r>
            <w:r w:rsidR="0086447B" w:rsidRPr="009D4254">
              <w:rPr>
                <w:iCs/>
                <w:szCs w:val="20"/>
                <w:lang w:val="fr-CA"/>
              </w:rPr>
              <w:t>PORTEURS CLÉS</w:t>
            </w:r>
            <w:r>
              <w:rPr>
                <w:iCs/>
                <w:szCs w:val="20"/>
                <w:lang w:val="fr-CA"/>
              </w:rPr>
              <w:t>]</w:t>
            </w:r>
          </w:p>
        </w:tc>
      </w:tr>
      <w:tr w:rsidR="006500EB" w:rsidRPr="0059083D" w14:paraId="175FDC58" w14:textId="77777777">
        <w:tc>
          <w:tcPr>
            <w:tcW w:w="4600" w:type="dxa"/>
          </w:tcPr>
          <w:p w14:paraId="1A1DC81E" w14:textId="77777777" w:rsidR="00037C7E" w:rsidRPr="0059083D" w:rsidRDefault="00037C7E">
            <w:pPr>
              <w:pStyle w:val="TblTxt-Basic"/>
              <w:rPr>
                <w:lang w:val="fr-CA"/>
              </w:rPr>
            </w:pPr>
          </w:p>
        </w:tc>
        <w:tc>
          <w:tcPr>
            <w:tcW w:w="856" w:type="dxa"/>
          </w:tcPr>
          <w:p w14:paraId="0392F5BA" w14:textId="77777777" w:rsidR="00037C7E" w:rsidRPr="0059083D" w:rsidRDefault="00037C7E">
            <w:pPr>
              <w:pStyle w:val="TblTxt-Basic"/>
              <w:rPr>
                <w:lang w:val="fr-CA"/>
              </w:rPr>
            </w:pPr>
          </w:p>
        </w:tc>
        <w:tc>
          <w:tcPr>
            <w:tcW w:w="3894" w:type="dxa"/>
          </w:tcPr>
          <w:p w14:paraId="37E99758" w14:textId="77777777" w:rsidR="00037C7E" w:rsidRPr="0059083D" w:rsidRDefault="00037C7E">
            <w:pPr>
              <w:pStyle w:val="TblTxt-Basic"/>
              <w:rPr>
                <w:lang w:val="fr-CA"/>
              </w:rPr>
            </w:pPr>
          </w:p>
        </w:tc>
      </w:tr>
      <w:tr w:rsidR="006500EB" w:rsidRPr="0059083D" w14:paraId="470E53FF" w14:textId="77777777">
        <w:tc>
          <w:tcPr>
            <w:tcW w:w="4600" w:type="dxa"/>
          </w:tcPr>
          <w:p w14:paraId="5394D97C" w14:textId="77777777" w:rsidR="00037C7E" w:rsidRPr="0059083D" w:rsidRDefault="00037C7E">
            <w:pPr>
              <w:pStyle w:val="TblTxt-Basic"/>
              <w:rPr>
                <w:lang w:val="fr-CA"/>
              </w:rPr>
            </w:pPr>
          </w:p>
        </w:tc>
        <w:tc>
          <w:tcPr>
            <w:tcW w:w="856" w:type="dxa"/>
          </w:tcPr>
          <w:p w14:paraId="106848C2" w14:textId="77777777" w:rsidR="00037C7E" w:rsidRPr="0059083D" w:rsidRDefault="00037C7E">
            <w:pPr>
              <w:pStyle w:val="TblTxt-Basic"/>
              <w:rPr>
                <w:lang w:val="fr-CA"/>
              </w:rPr>
            </w:pPr>
          </w:p>
        </w:tc>
        <w:tc>
          <w:tcPr>
            <w:tcW w:w="3894" w:type="dxa"/>
          </w:tcPr>
          <w:p w14:paraId="0BBC04BC" w14:textId="77777777" w:rsidR="00037C7E" w:rsidRPr="0059083D" w:rsidRDefault="00037C7E">
            <w:pPr>
              <w:pStyle w:val="TblTxt-Basic"/>
              <w:rPr>
                <w:lang w:val="fr-CA"/>
              </w:rPr>
            </w:pPr>
          </w:p>
        </w:tc>
      </w:tr>
      <w:tr w:rsidR="0086447B" w:rsidRPr="0059083D" w14:paraId="665DE374" w14:textId="77777777">
        <w:tc>
          <w:tcPr>
            <w:tcW w:w="4600" w:type="dxa"/>
          </w:tcPr>
          <w:p w14:paraId="0BB94438" w14:textId="77777777" w:rsidR="0086447B" w:rsidRPr="0059083D" w:rsidRDefault="0086447B" w:rsidP="0086447B">
            <w:pPr>
              <w:pStyle w:val="TblTxt-Basic"/>
              <w:rPr>
                <w:lang w:val="fr-CA"/>
              </w:rPr>
            </w:pPr>
          </w:p>
        </w:tc>
        <w:tc>
          <w:tcPr>
            <w:tcW w:w="856" w:type="dxa"/>
          </w:tcPr>
          <w:p w14:paraId="5D7ABF01" w14:textId="4F98C874" w:rsidR="0086447B" w:rsidRPr="009D4254" w:rsidRDefault="0086447B" w:rsidP="0086447B">
            <w:pPr>
              <w:pStyle w:val="TblTxt-Basic"/>
              <w:rPr>
                <w:lang w:val="fr-CA"/>
              </w:rPr>
            </w:pPr>
            <w:r w:rsidRPr="009D4254">
              <w:rPr>
                <w:lang w:val="fr-CA"/>
              </w:rPr>
              <w:t>Par :</w:t>
            </w:r>
          </w:p>
        </w:tc>
        <w:tc>
          <w:tcPr>
            <w:tcW w:w="3894" w:type="dxa"/>
            <w:tcBorders>
              <w:bottom w:val="single" w:sz="4" w:space="0" w:color="auto"/>
            </w:tcBorders>
          </w:tcPr>
          <w:p w14:paraId="48FE7F13" w14:textId="77777777" w:rsidR="0086447B" w:rsidRPr="0059083D" w:rsidRDefault="0086447B" w:rsidP="0086447B">
            <w:pPr>
              <w:pStyle w:val="TblTxt-Basic"/>
              <w:rPr>
                <w:lang w:val="fr-CA"/>
              </w:rPr>
            </w:pPr>
          </w:p>
        </w:tc>
      </w:tr>
      <w:tr w:rsidR="0086447B" w:rsidRPr="0059083D" w14:paraId="17A9356B" w14:textId="77777777">
        <w:tc>
          <w:tcPr>
            <w:tcW w:w="4600" w:type="dxa"/>
          </w:tcPr>
          <w:p w14:paraId="3AEBB407" w14:textId="77777777" w:rsidR="0086447B" w:rsidRPr="0059083D" w:rsidRDefault="0086447B" w:rsidP="0086447B">
            <w:pPr>
              <w:pStyle w:val="TblTxt-Basic"/>
              <w:rPr>
                <w:lang w:val="fr-CA"/>
              </w:rPr>
            </w:pPr>
          </w:p>
        </w:tc>
        <w:tc>
          <w:tcPr>
            <w:tcW w:w="856" w:type="dxa"/>
          </w:tcPr>
          <w:p w14:paraId="7F66570B" w14:textId="77777777" w:rsidR="0086447B" w:rsidRPr="0059083D" w:rsidRDefault="0086447B" w:rsidP="0086447B">
            <w:pPr>
              <w:pStyle w:val="TblTxt-Basic"/>
              <w:rPr>
                <w:lang w:val="fr-CA"/>
              </w:rPr>
            </w:pPr>
          </w:p>
        </w:tc>
        <w:tc>
          <w:tcPr>
            <w:tcW w:w="3894" w:type="dxa"/>
            <w:tcBorders>
              <w:top w:val="single" w:sz="4" w:space="0" w:color="auto"/>
            </w:tcBorders>
          </w:tcPr>
          <w:p w14:paraId="14262D6C" w14:textId="77777777" w:rsidR="0086447B" w:rsidRPr="0059083D" w:rsidRDefault="0086447B" w:rsidP="0086447B">
            <w:pPr>
              <w:pStyle w:val="TblTxt-Basic"/>
              <w:rPr>
                <w:lang w:val="fr-CA"/>
              </w:rPr>
            </w:pPr>
          </w:p>
        </w:tc>
      </w:tr>
      <w:tr w:rsidR="0086447B" w:rsidRPr="0059083D" w14:paraId="3D7D9D4A" w14:textId="77777777">
        <w:tc>
          <w:tcPr>
            <w:tcW w:w="4600" w:type="dxa"/>
          </w:tcPr>
          <w:p w14:paraId="517311A7" w14:textId="77777777" w:rsidR="0086447B" w:rsidRPr="0059083D" w:rsidRDefault="0086447B" w:rsidP="0086447B">
            <w:pPr>
              <w:pStyle w:val="TblTxt-Basic"/>
              <w:rPr>
                <w:lang w:val="fr-CA"/>
              </w:rPr>
            </w:pPr>
          </w:p>
        </w:tc>
        <w:tc>
          <w:tcPr>
            <w:tcW w:w="856" w:type="dxa"/>
          </w:tcPr>
          <w:p w14:paraId="46790DF5" w14:textId="73A41054" w:rsidR="0086447B" w:rsidRPr="009D4254" w:rsidRDefault="0086447B" w:rsidP="0086447B">
            <w:pPr>
              <w:pStyle w:val="TblTxt-Basic"/>
              <w:rPr>
                <w:lang w:val="fr-CA"/>
              </w:rPr>
            </w:pPr>
            <w:r w:rsidRPr="009D4254">
              <w:rPr>
                <w:lang w:val="fr-CA"/>
              </w:rPr>
              <w:t>Nom :</w:t>
            </w:r>
          </w:p>
        </w:tc>
        <w:tc>
          <w:tcPr>
            <w:tcW w:w="3894" w:type="dxa"/>
            <w:tcBorders>
              <w:bottom w:val="single" w:sz="4" w:space="0" w:color="auto"/>
            </w:tcBorders>
          </w:tcPr>
          <w:p w14:paraId="2D194520" w14:textId="77777777" w:rsidR="0086447B" w:rsidRPr="0059083D" w:rsidRDefault="0086447B" w:rsidP="0086447B">
            <w:pPr>
              <w:pStyle w:val="TblTxt-Basic"/>
              <w:rPr>
                <w:lang w:val="fr-CA"/>
              </w:rPr>
            </w:pPr>
          </w:p>
        </w:tc>
      </w:tr>
      <w:tr w:rsidR="0086447B" w:rsidRPr="0059083D" w14:paraId="67A57ADE" w14:textId="77777777">
        <w:tc>
          <w:tcPr>
            <w:tcW w:w="4600" w:type="dxa"/>
          </w:tcPr>
          <w:p w14:paraId="1707F05C" w14:textId="77777777" w:rsidR="0086447B" w:rsidRPr="0059083D" w:rsidRDefault="0086447B" w:rsidP="0086447B">
            <w:pPr>
              <w:pStyle w:val="TblTxt-Basic"/>
              <w:rPr>
                <w:lang w:val="fr-CA"/>
              </w:rPr>
            </w:pPr>
          </w:p>
        </w:tc>
        <w:tc>
          <w:tcPr>
            <w:tcW w:w="856" w:type="dxa"/>
          </w:tcPr>
          <w:p w14:paraId="269CB00C" w14:textId="77777777" w:rsidR="0086447B" w:rsidRPr="0059083D" w:rsidRDefault="0086447B" w:rsidP="0086447B">
            <w:pPr>
              <w:pStyle w:val="TblTxt-Basic"/>
              <w:rPr>
                <w:lang w:val="fr-CA"/>
              </w:rPr>
            </w:pPr>
          </w:p>
        </w:tc>
        <w:tc>
          <w:tcPr>
            <w:tcW w:w="3894" w:type="dxa"/>
            <w:tcBorders>
              <w:top w:val="single" w:sz="4" w:space="0" w:color="auto"/>
            </w:tcBorders>
          </w:tcPr>
          <w:p w14:paraId="641A7FCB" w14:textId="77777777" w:rsidR="0086447B" w:rsidRPr="0059083D" w:rsidRDefault="0086447B" w:rsidP="0086447B">
            <w:pPr>
              <w:pStyle w:val="TblTxt-Basic"/>
              <w:rPr>
                <w:lang w:val="fr-CA"/>
              </w:rPr>
            </w:pPr>
          </w:p>
        </w:tc>
      </w:tr>
      <w:tr w:rsidR="0086447B" w:rsidRPr="0059083D" w14:paraId="0A805133" w14:textId="77777777">
        <w:tc>
          <w:tcPr>
            <w:tcW w:w="4600" w:type="dxa"/>
          </w:tcPr>
          <w:p w14:paraId="5267749C" w14:textId="77777777" w:rsidR="0086447B" w:rsidRPr="0059083D" w:rsidRDefault="0086447B" w:rsidP="0086447B">
            <w:pPr>
              <w:pStyle w:val="TblTxt-Basic"/>
              <w:rPr>
                <w:lang w:val="fr-CA"/>
              </w:rPr>
            </w:pPr>
          </w:p>
        </w:tc>
        <w:tc>
          <w:tcPr>
            <w:tcW w:w="856" w:type="dxa"/>
          </w:tcPr>
          <w:p w14:paraId="65F155F8" w14:textId="198F6715" w:rsidR="0086447B" w:rsidRPr="009D4254" w:rsidRDefault="0086447B" w:rsidP="0086447B">
            <w:pPr>
              <w:pStyle w:val="TblTxt-Basic"/>
              <w:rPr>
                <w:lang w:val="fr-CA"/>
              </w:rPr>
            </w:pPr>
            <w:r w:rsidRPr="009D4254">
              <w:rPr>
                <w:lang w:val="fr-CA"/>
              </w:rPr>
              <w:t>Titre :</w:t>
            </w:r>
          </w:p>
        </w:tc>
        <w:tc>
          <w:tcPr>
            <w:tcW w:w="3894" w:type="dxa"/>
            <w:tcBorders>
              <w:bottom w:val="single" w:sz="4" w:space="0" w:color="auto"/>
            </w:tcBorders>
          </w:tcPr>
          <w:p w14:paraId="767BE800" w14:textId="77777777" w:rsidR="0086447B" w:rsidRPr="0059083D" w:rsidRDefault="0086447B" w:rsidP="0086447B">
            <w:pPr>
              <w:pStyle w:val="TblTxt-Basic"/>
              <w:rPr>
                <w:lang w:val="fr-CA"/>
              </w:rPr>
            </w:pPr>
          </w:p>
        </w:tc>
      </w:tr>
      <w:tr w:rsidR="006500EB" w:rsidRPr="0059083D" w14:paraId="6F53315F" w14:textId="77777777">
        <w:tc>
          <w:tcPr>
            <w:tcW w:w="4600" w:type="dxa"/>
          </w:tcPr>
          <w:p w14:paraId="77B7B51D" w14:textId="77777777" w:rsidR="00037C7E" w:rsidRPr="0059083D" w:rsidRDefault="00037C7E">
            <w:pPr>
              <w:pStyle w:val="TblTxt-Basic"/>
              <w:rPr>
                <w:lang w:val="fr-CA"/>
              </w:rPr>
            </w:pPr>
          </w:p>
        </w:tc>
        <w:tc>
          <w:tcPr>
            <w:tcW w:w="856" w:type="dxa"/>
          </w:tcPr>
          <w:p w14:paraId="5DAC2473" w14:textId="77777777" w:rsidR="00037C7E" w:rsidRPr="0059083D" w:rsidRDefault="00037C7E">
            <w:pPr>
              <w:pStyle w:val="TblTxt-Basic"/>
              <w:rPr>
                <w:lang w:val="fr-CA"/>
              </w:rPr>
            </w:pPr>
          </w:p>
        </w:tc>
        <w:tc>
          <w:tcPr>
            <w:tcW w:w="3894" w:type="dxa"/>
            <w:tcBorders>
              <w:top w:val="single" w:sz="4" w:space="0" w:color="auto"/>
            </w:tcBorders>
          </w:tcPr>
          <w:p w14:paraId="2FFF46FD" w14:textId="77777777" w:rsidR="00037C7E" w:rsidRPr="0059083D" w:rsidRDefault="00037C7E">
            <w:pPr>
              <w:pStyle w:val="TblTxt-Basic"/>
              <w:rPr>
                <w:lang w:val="fr-CA"/>
              </w:rPr>
            </w:pPr>
          </w:p>
        </w:tc>
      </w:tr>
      <w:tr w:rsidR="006500EB" w:rsidRPr="0059083D" w14:paraId="6166617E" w14:textId="77777777">
        <w:tc>
          <w:tcPr>
            <w:tcW w:w="4600" w:type="dxa"/>
          </w:tcPr>
          <w:p w14:paraId="659A0511" w14:textId="77777777" w:rsidR="00037C7E" w:rsidRPr="0059083D" w:rsidRDefault="00037C7E">
            <w:pPr>
              <w:pStyle w:val="TblTxt-Basic"/>
              <w:rPr>
                <w:lang w:val="fr-CA"/>
              </w:rPr>
            </w:pPr>
          </w:p>
        </w:tc>
        <w:tc>
          <w:tcPr>
            <w:tcW w:w="856" w:type="dxa"/>
          </w:tcPr>
          <w:p w14:paraId="60C14B3E" w14:textId="77777777" w:rsidR="00037C7E" w:rsidRPr="0059083D" w:rsidRDefault="000B08F2">
            <w:pPr>
              <w:pStyle w:val="TblTxt-Basic"/>
              <w:rPr>
                <w:lang w:val="fr-CA"/>
              </w:rPr>
            </w:pPr>
            <w:r w:rsidRPr="0059083D">
              <w:rPr>
                <w:lang w:val="fr-CA"/>
              </w:rPr>
              <w:t>]</w:t>
            </w:r>
          </w:p>
        </w:tc>
        <w:tc>
          <w:tcPr>
            <w:tcW w:w="3894" w:type="dxa"/>
          </w:tcPr>
          <w:p w14:paraId="72708334" w14:textId="77777777" w:rsidR="00037C7E" w:rsidRPr="0059083D" w:rsidRDefault="00037C7E">
            <w:pPr>
              <w:pStyle w:val="TblTxt-Basic"/>
              <w:rPr>
                <w:lang w:val="fr-CA"/>
              </w:rPr>
            </w:pPr>
          </w:p>
        </w:tc>
      </w:tr>
    </w:tbl>
    <w:p w14:paraId="2FB70580" w14:textId="77777777" w:rsidR="00037C7E" w:rsidRPr="0059083D" w:rsidRDefault="00037C7E">
      <w:pPr>
        <w:rPr>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856"/>
        <w:gridCol w:w="3894"/>
      </w:tblGrid>
      <w:tr w:rsidR="006500EB" w:rsidRPr="0059083D" w14:paraId="33A7A18B" w14:textId="77777777">
        <w:tc>
          <w:tcPr>
            <w:tcW w:w="4600" w:type="dxa"/>
          </w:tcPr>
          <w:p w14:paraId="1B5ADA77" w14:textId="77777777" w:rsidR="00037C7E" w:rsidRPr="0059083D" w:rsidRDefault="00037C7E">
            <w:pPr>
              <w:pStyle w:val="TblTxt-Basic"/>
              <w:rPr>
                <w:lang w:val="fr-CA"/>
              </w:rPr>
            </w:pPr>
          </w:p>
        </w:tc>
        <w:tc>
          <w:tcPr>
            <w:tcW w:w="4750" w:type="dxa"/>
            <w:gridSpan w:val="2"/>
          </w:tcPr>
          <w:p w14:paraId="077BCE57" w14:textId="3E6040DF" w:rsidR="00037C7E" w:rsidRPr="0059083D" w:rsidRDefault="000F37C7">
            <w:pPr>
              <w:pStyle w:val="TblTxt-Basic"/>
              <w:rPr>
                <w:iCs/>
                <w:lang w:val="fr-CA"/>
              </w:rPr>
            </w:pPr>
            <w:r w:rsidRPr="009D4254">
              <w:rPr>
                <w:iCs/>
                <w:szCs w:val="20"/>
                <w:lang w:val="fr-CA"/>
              </w:rPr>
              <w:t>INVESTISSEURS</w:t>
            </w:r>
            <w:r w:rsidR="000B08F2" w:rsidRPr="00986BEB">
              <w:rPr>
                <w:rStyle w:val="FootnoteReference"/>
                <w:lang w:val="fr-CA"/>
              </w:rPr>
              <w:footnoteReference w:id="76"/>
            </w:r>
          </w:p>
        </w:tc>
      </w:tr>
      <w:tr w:rsidR="006500EB" w:rsidRPr="0059083D" w14:paraId="1CB33410" w14:textId="77777777">
        <w:tc>
          <w:tcPr>
            <w:tcW w:w="4600" w:type="dxa"/>
          </w:tcPr>
          <w:p w14:paraId="40ED2557" w14:textId="77777777" w:rsidR="00037C7E" w:rsidRPr="0059083D" w:rsidRDefault="00037C7E">
            <w:pPr>
              <w:pStyle w:val="TblTxt-Basic"/>
              <w:rPr>
                <w:lang w:val="fr-CA"/>
              </w:rPr>
            </w:pPr>
          </w:p>
        </w:tc>
        <w:tc>
          <w:tcPr>
            <w:tcW w:w="856" w:type="dxa"/>
          </w:tcPr>
          <w:p w14:paraId="64BE5E42" w14:textId="77777777" w:rsidR="00037C7E" w:rsidRPr="0059083D" w:rsidRDefault="00037C7E">
            <w:pPr>
              <w:pStyle w:val="TblTxt-Basic"/>
              <w:rPr>
                <w:lang w:val="fr-CA"/>
              </w:rPr>
            </w:pPr>
          </w:p>
        </w:tc>
        <w:tc>
          <w:tcPr>
            <w:tcW w:w="3894" w:type="dxa"/>
          </w:tcPr>
          <w:p w14:paraId="7632FA24" w14:textId="77777777" w:rsidR="00037C7E" w:rsidRPr="0059083D" w:rsidRDefault="00037C7E">
            <w:pPr>
              <w:pStyle w:val="TblTxt-Basic"/>
              <w:rPr>
                <w:lang w:val="fr-CA"/>
              </w:rPr>
            </w:pPr>
          </w:p>
        </w:tc>
      </w:tr>
      <w:tr w:rsidR="006500EB" w:rsidRPr="0059083D" w14:paraId="59DE3B9C" w14:textId="77777777">
        <w:tc>
          <w:tcPr>
            <w:tcW w:w="4600" w:type="dxa"/>
          </w:tcPr>
          <w:p w14:paraId="21E0FC64" w14:textId="77777777" w:rsidR="00037C7E" w:rsidRPr="0059083D" w:rsidRDefault="00037C7E">
            <w:pPr>
              <w:pStyle w:val="TblTxt-Basic"/>
              <w:rPr>
                <w:lang w:val="fr-CA"/>
              </w:rPr>
            </w:pPr>
          </w:p>
        </w:tc>
        <w:tc>
          <w:tcPr>
            <w:tcW w:w="856" w:type="dxa"/>
          </w:tcPr>
          <w:p w14:paraId="4F3F531B" w14:textId="77777777" w:rsidR="00037C7E" w:rsidRPr="0059083D" w:rsidRDefault="00037C7E">
            <w:pPr>
              <w:pStyle w:val="TblTxt-Basic"/>
              <w:rPr>
                <w:lang w:val="fr-CA"/>
              </w:rPr>
            </w:pPr>
          </w:p>
        </w:tc>
        <w:tc>
          <w:tcPr>
            <w:tcW w:w="3894" w:type="dxa"/>
          </w:tcPr>
          <w:p w14:paraId="4B641749" w14:textId="77777777" w:rsidR="00037C7E" w:rsidRPr="0059083D" w:rsidRDefault="00037C7E">
            <w:pPr>
              <w:pStyle w:val="TblTxt-Basic"/>
              <w:rPr>
                <w:lang w:val="fr-CA"/>
              </w:rPr>
            </w:pPr>
          </w:p>
        </w:tc>
      </w:tr>
      <w:tr w:rsidR="0086447B" w:rsidRPr="0059083D" w14:paraId="09D2AF68" w14:textId="77777777">
        <w:tc>
          <w:tcPr>
            <w:tcW w:w="4600" w:type="dxa"/>
          </w:tcPr>
          <w:p w14:paraId="3DA1C5AF" w14:textId="77777777" w:rsidR="0086447B" w:rsidRPr="0059083D" w:rsidRDefault="0086447B" w:rsidP="0086447B">
            <w:pPr>
              <w:pStyle w:val="TblTxt-Basic"/>
              <w:rPr>
                <w:lang w:val="fr-CA"/>
              </w:rPr>
            </w:pPr>
          </w:p>
        </w:tc>
        <w:tc>
          <w:tcPr>
            <w:tcW w:w="856" w:type="dxa"/>
          </w:tcPr>
          <w:p w14:paraId="0229A7A4" w14:textId="2DE43EA2" w:rsidR="0086447B" w:rsidRPr="009D4254" w:rsidRDefault="0086447B" w:rsidP="0086447B">
            <w:pPr>
              <w:pStyle w:val="TblTxt-Basic"/>
              <w:rPr>
                <w:lang w:val="fr-CA"/>
              </w:rPr>
            </w:pPr>
            <w:r w:rsidRPr="009D4254">
              <w:rPr>
                <w:lang w:val="fr-CA"/>
              </w:rPr>
              <w:t>Par :</w:t>
            </w:r>
          </w:p>
        </w:tc>
        <w:tc>
          <w:tcPr>
            <w:tcW w:w="3894" w:type="dxa"/>
            <w:tcBorders>
              <w:bottom w:val="single" w:sz="4" w:space="0" w:color="auto"/>
            </w:tcBorders>
          </w:tcPr>
          <w:p w14:paraId="1310E29F" w14:textId="77777777" w:rsidR="0086447B" w:rsidRPr="0059083D" w:rsidRDefault="0086447B" w:rsidP="0086447B">
            <w:pPr>
              <w:pStyle w:val="TblTxt-Basic"/>
              <w:rPr>
                <w:lang w:val="fr-CA"/>
              </w:rPr>
            </w:pPr>
          </w:p>
        </w:tc>
      </w:tr>
      <w:tr w:rsidR="0086447B" w:rsidRPr="0059083D" w14:paraId="3B8F8B6F" w14:textId="77777777">
        <w:tc>
          <w:tcPr>
            <w:tcW w:w="4600" w:type="dxa"/>
          </w:tcPr>
          <w:p w14:paraId="729FD164" w14:textId="77777777" w:rsidR="0086447B" w:rsidRPr="0059083D" w:rsidRDefault="0086447B" w:rsidP="0086447B">
            <w:pPr>
              <w:pStyle w:val="TblTxt-Basic"/>
              <w:rPr>
                <w:lang w:val="fr-CA"/>
              </w:rPr>
            </w:pPr>
          </w:p>
        </w:tc>
        <w:tc>
          <w:tcPr>
            <w:tcW w:w="856" w:type="dxa"/>
          </w:tcPr>
          <w:p w14:paraId="7830D466" w14:textId="77777777" w:rsidR="0086447B" w:rsidRPr="0059083D" w:rsidRDefault="0086447B" w:rsidP="0086447B">
            <w:pPr>
              <w:pStyle w:val="TblTxt-Basic"/>
              <w:rPr>
                <w:lang w:val="fr-CA"/>
              </w:rPr>
            </w:pPr>
          </w:p>
        </w:tc>
        <w:tc>
          <w:tcPr>
            <w:tcW w:w="3894" w:type="dxa"/>
            <w:tcBorders>
              <w:top w:val="single" w:sz="4" w:space="0" w:color="auto"/>
            </w:tcBorders>
          </w:tcPr>
          <w:p w14:paraId="04513CA0" w14:textId="77777777" w:rsidR="0086447B" w:rsidRPr="0059083D" w:rsidRDefault="0086447B" w:rsidP="0086447B">
            <w:pPr>
              <w:pStyle w:val="TblTxt-Basic"/>
              <w:rPr>
                <w:lang w:val="fr-CA"/>
              </w:rPr>
            </w:pPr>
          </w:p>
        </w:tc>
      </w:tr>
      <w:tr w:rsidR="0086447B" w:rsidRPr="0059083D" w14:paraId="142BC540" w14:textId="77777777">
        <w:tc>
          <w:tcPr>
            <w:tcW w:w="4600" w:type="dxa"/>
          </w:tcPr>
          <w:p w14:paraId="0CE4FBD7" w14:textId="77777777" w:rsidR="0086447B" w:rsidRPr="0059083D" w:rsidRDefault="0086447B" w:rsidP="0086447B">
            <w:pPr>
              <w:pStyle w:val="TblTxt-Basic"/>
              <w:rPr>
                <w:lang w:val="fr-CA"/>
              </w:rPr>
            </w:pPr>
          </w:p>
        </w:tc>
        <w:tc>
          <w:tcPr>
            <w:tcW w:w="856" w:type="dxa"/>
          </w:tcPr>
          <w:p w14:paraId="479E2AC4" w14:textId="460869DA" w:rsidR="0086447B" w:rsidRPr="009D4254" w:rsidRDefault="0086447B" w:rsidP="0086447B">
            <w:pPr>
              <w:pStyle w:val="TblTxt-Basic"/>
              <w:rPr>
                <w:lang w:val="fr-CA"/>
              </w:rPr>
            </w:pPr>
            <w:r w:rsidRPr="009D4254">
              <w:rPr>
                <w:lang w:val="fr-CA"/>
              </w:rPr>
              <w:t>Nom :</w:t>
            </w:r>
          </w:p>
        </w:tc>
        <w:tc>
          <w:tcPr>
            <w:tcW w:w="3894" w:type="dxa"/>
            <w:tcBorders>
              <w:bottom w:val="single" w:sz="4" w:space="0" w:color="auto"/>
            </w:tcBorders>
          </w:tcPr>
          <w:p w14:paraId="19DB7BDE" w14:textId="77777777" w:rsidR="0086447B" w:rsidRPr="0059083D" w:rsidRDefault="0086447B" w:rsidP="0086447B">
            <w:pPr>
              <w:pStyle w:val="TblTxt-Basic"/>
              <w:rPr>
                <w:lang w:val="fr-CA"/>
              </w:rPr>
            </w:pPr>
          </w:p>
        </w:tc>
      </w:tr>
      <w:tr w:rsidR="0086447B" w:rsidRPr="0059083D" w14:paraId="04CAB209" w14:textId="77777777">
        <w:tc>
          <w:tcPr>
            <w:tcW w:w="4600" w:type="dxa"/>
          </w:tcPr>
          <w:p w14:paraId="6E3AD44E" w14:textId="77777777" w:rsidR="0086447B" w:rsidRPr="0059083D" w:rsidRDefault="0086447B" w:rsidP="0086447B">
            <w:pPr>
              <w:pStyle w:val="TblTxt-Basic"/>
              <w:rPr>
                <w:lang w:val="fr-CA"/>
              </w:rPr>
            </w:pPr>
          </w:p>
        </w:tc>
        <w:tc>
          <w:tcPr>
            <w:tcW w:w="856" w:type="dxa"/>
          </w:tcPr>
          <w:p w14:paraId="61EFAD0B" w14:textId="77777777" w:rsidR="0086447B" w:rsidRPr="0059083D" w:rsidRDefault="0086447B" w:rsidP="0086447B">
            <w:pPr>
              <w:pStyle w:val="TblTxt-Basic"/>
              <w:rPr>
                <w:lang w:val="fr-CA"/>
              </w:rPr>
            </w:pPr>
          </w:p>
        </w:tc>
        <w:tc>
          <w:tcPr>
            <w:tcW w:w="3894" w:type="dxa"/>
            <w:tcBorders>
              <w:top w:val="single" w:sz="4" w:space="0" w:color="auto"/>
            </w:tcBorders>
          </w:tcPr>
          <w:p w14:paraId="42CE70D0" w14:textId="77777777" w:rsidR="0086447B" w:rsidRPr="0059083D" w:rsidRDefault="0086447B" w:rsidP="0086447B">
            <w:pPr>
              <w:pStyle w:val="TblTxt-Basic"/>
              <w:rPr>
                <w:lang w:val="fr-CA"/>
              </w:rPr>
            </w:pPr>
          </w:p>
        </w:tc>
      </w:tr>
      <w:tr w:rsidR="0086447B" w:rsidRPr="0059083D" w14:paraId="76E8FD2E" w14:textId="77777777">
        <w:tc>
          <w:tcPr>
            <w:tcW w:w="4600" w:type="dxa"/>
          </w:tcPr>
          <w:p w14:paraId="6F1CA7E8" w14:textId="77777777" w:rsidR="0086447B" w:rsidRPr="0059083D" w:rsidRDefault="0086447B" w:rsidP="0086447B">
            <w:pPr>
              <w:pStyle w:val="TblTxt-Basic"/>
              <w:rPr>
                <w:lang w:val="fr-CA"/>
              </w:rPr>
            </w:pPr>
          </w:p>
        </w:tc>
        <w:tc>
          <w:tcPr>
            <w:tcW w:w="856" w:type="dxa"/>
          </w:tcPr>
          <w:p w14:paraId="396268AA" w14:textId="46AB5EF9" w:rsidR="0086447B" w:rsidRPr="009D4254" w:rsidRDefault="0086447B" w:rsidP="0086447B">
            <w:pPr>
              <w:pStyle w:val="TblTxt-Basic"/>
              <w:rPr>
                <w:lang w:val="fr-CA"/>
              </w:rPr>
            </w:pPr>
            <w:r w:rsidRPr="009D4254">
              <w:rPr>
                <w:lang w:val="fr-CA"/>
              </w:rPr>
              <w:t>Titre :</w:t>
            </w:r>
          </w:p>
        </w:tc>
        <w:tc>
          <w:tcPr>
            <w:tcW w:w="3894" w:type="dxa"/>
            <w:tcBorders>
              <w:bottom w:val="single" w:sz="4" w:space="0" w:color="auto"/>
            </w:tcBorders>
          </w:tcPr>
          <w:p w14:paraId="0F56257E" w14:textId="77777777" w:rsidR="0086447B" w:rsidRPr="0059083D" w:rsidRDefault="0086447B" w:rsidP="0086447B">
            <w:pPr>
              <w:pStyle w:val="TblTxt-Basic"/>
              <w:rPr>
                <w:lang w:val="fr-CA"/>
              </w:rPr>
            </w:pPr>
          </w:p>
        </w:tc>
      </w:tr>
      <w:tr w:rsidR="006500EB" w:rsidRPr="0059083D" w14:paraId="2A56C731" w14:textId="77777777">
        <w:tc>
          <w:tcPr>
            <w:tcW w:w="4600" w:type="dxa"/>
          </w:tcPr>
          <w:p w14:paraId="6345C692" w14:textId="77777777" w:rsidR="00037C7E" w:rsidRPr="0059083D" w:rsidRDefault="00037C7E">
            <w:pPr>
              <w:pStyle w:val="TblTxt-Basic"/>
              <w:rPr>
                <w:lang w:val="fr-CA"/>
              </w:rPr>
            </w:pPr>
          </w:p>
        </w:tc>
        <w:tc>
          <w:tcPr>
            <w:tcW w:w="856" w:type="dxa"/>
          </w:tcPr>
          <w:p w14:paraId="06DFA86F" w14:textId="77777777" w:rsidR="00037C7E" w:rsidRPr="0059083D" w:rsidRDefault="00037C7E">
            <w:pPr>
              <w:pStyle w:val="TblTxt-Basic"/>
              <w:rPr>
                <w:lang w:val="fr-CA"/>
              </w:rPr>
            </w:pPr>
          </w:p>
        </w:tc>
        <w:tc>
          <w:tcPr>
            <w:tcW w:w="3894" w:type="dxa"/>
            <w:tcBorders>
              <w:top w:val="single" w:sz="4" w:space="0" w:color="auto"/>
            </w:tcBorders>
          </w:tcPr>
          <w:p w14:paraId="4D4D5230" w14:textId="77777777" w:rsidR="00037C7E" w:rsidRPr="0059083D" w:rsidRDefault="00037C7E">
            <w:pPr>
              <w:pStyle w:val="TblTxt-Basic"/>
              <w:rPr>
                <w:lang w:val="fr-CA"/>
              </w:rPr>
            </w:pPr>
          </w:p>
        </w:tc>
      </w:tr>
      <w:tr w:rsidR="006500EB" w:rsidRPr="0059083D" w14:paraId="3749D54B" w14:textId="77777777">
        <w:tc>
          <w:tcPr>
            <w:tcW w:w="4600" w:type="dxa"/>
          </w:tcPr>
          <w:p w14:paraId="5E246EC7" w14:textId="77777777" w:rsidR="00037C7E" w:rsidRPr="0059083D" w:rsidRDefault="00037C7E">
            <w:pPr>
              <w:pStyle w:val="TblTxt-Basic"/>
              <w:rPr>
                <w:lang w:val="fr-CA"/>
              </w:rPr>
            </w:pPr>
          </w:p>
        </w:tc>
        <w:tc>
          <w:tcPr>
            <w:tcW w:w="856" w:type="dxa"/>
          </w:tcPr>
          <w:p w14:paraId="36BAA92D" w14:textId="77777777" w:rsidR="00037C7E" w:rsidRPr="0059083D" w:rsidRDefault="00037C7E">
            <w:pPr>
              <w:pStyle w:val="TblTxt-Basic"/>
              <w:rPr>
                <w:lang w:val="fr-CA"/>
              </w:rPr>
            </w:pPr>
          </w:p>
        </w:tc>
        <w:tc>
          <w:tcPr>
            <w:tcW w:w="3894" w:type="dxa"/>
          </w:tcPr>
          <w:p w14:paraId="31F8F7DE" w14:textId="77777777" w:rsidR="00037C7E" w:rsidRPr="0059083D" w:rsidRDefault="00037C7E">
            <w:pPr>
              <w:pStyle w:val="TblTxt-Basic"/>
              <w:rPr>
                <w:lang w:val="fr-CA"/>
              </w:rPr>
            </w:pPr>
          </w:p>
        </w:tc>
      </w:tr>
    </w:tbl>
    <w:p w14:paraId="26886953" w14:textId="77777777" w:rsidR="00037C7E" w:rsidRPr="0059083D" w:rsidRDefault="00037C7E">
      <w:pPr>
        <w:rPr>
          <w:lang w:val="fr-CA"/>
        </w:rPr>
      </w:pPr>
    </w:p>
    <w:p w14:paraId="5A3D6F24" w14:textId="77777777" w:rsidR="00037C7E" w:rsidRPr="0059083D" w:rsidRDefault="00037C7E">
      <w:pPr>
        <w:rPr>
          <w:lang w:val="fr-CA"/>
        </w:rPr>
        <w:sectPr w:rsidR="00037C7E" w:rsidRPr="0059083D">
          <w:headerReference w:type="first" r:id="rId24"/>
          <w:footerReference w:type="first" r:id="rId25"/>
          <w:pgSz w:w="12240" w:h="15840" w:code="1"/>
          <w:pgMar w:top="1440" w:right="1440" w:bottom="1440" w:left="1440" w:header="720" w:footer="432" w:gutter="0"/>
          <w:pgNumType w:start="1"/>
          <w:cols w:space="720"/>
          <w:titlePg/>
          <w:docGrid w:linePitch="360"/>
        </w:sectPr>
      </w:pPr>
    </w:p>
    <w:p w14:paraId="01DD97B1" w14:textId="22734A88" w:rsidR="00037C7E" w:rsidRPr="00986BEB" w:rsidRDefault="000B08F2" w:rsidP="000B08F2">
      <w:pPr>
        <w:pStyle w:val="ScheduleL1"/>
        <w:rPr>
          <w:lang w:val="fr-CA"/>
        </w:rPr>
      </w:pPr>
      <w:r w:rsidRPr="0059083D">
        <w:rPr>
          <w:lang w:val="fr-CA"/>
        </w:rPr>
        <w:br/>
      </w:r>
      <w:r w:rsidRPr="0059083D">
        <w:rPr>
          <w:lang w:val="fr-CA"/>
        </w:rPr>
        <w:br/>
      </w:r>
      <w:bookmarkStart w:id="452" w:name="_Ref118363277"/>
      <w:r w:rsidR="000F37C7" w:rsidRPr="009D4254">
        <w:rPr>
          <w:lang w:val="fr-CA"/>
        </w:rPr>
        <w:t>Investisseurs</w:t>
      </w:r>
      <w:bookmarkEnd w:id="452"/>
    </w:p>
    <w:tbl>
      <w:tblPr>
        <w:tblW w:w="5000" w:type="pct"/>
        <w:tblLook w:val="0000" w:firstRow="0" w:lastRow="0" w:firstColumn="0" w:lastColumn="0" w:noHBand="0" w:noVBand="0"/>
      </w:tblPr>
      <w:tblGrid>
        <w:gridCol w:w="9360"/>
      </w:tblGrid>
      <w:tr w:rsidR="006500EB" w:rsidRPr="0059083D" w14:paraId="020976F9" w14:textId="77777777" w:rsidTr="00F06AE2">
        <w:tc>
          <w:tcPr>
            <w:tcW w:w="5000" w:type="pct"/>
          </w:tcPr>
          <w:p w14:paraId="2D110C16" w14:textId="5B610F89" w:rsidR="00273322" w:rsidRPr="009D4254" w:rsidRDefault="000B08F2" w:rsidP="00F06AE2">
            <w:pPr>
              <w:rPr>
                <w:b/>
                <w:u w:val="single"/>
                <w:lang w:val="fr-CA"/>
              </w:rPr>
            </w:pPr>
            <w:r w:rsidRPr="009D4254">
              <w:rPr>
                <w:b/>
                <w:u w:val="single"/>
                <w:lang w:val="fr-CA"/>
              </w:rPr>
              <w:t>N</w:t>
            </w:r>
            <w:r w:rsidR="0086447B" w:rsidRPr="009D4254">
              <w:rPr>
                <w:b/>
                <w:u w:val="single"/>
                <w:lang w:val="fr-CA"/>
              </w:rPr>
              <w:t>om et adresse</w:t>
            </w:r>
          </w:p>
        </w:tc>
      </w:tr>
      <w:tr w:rsidR="006500EB" w:rsidRPr="0059083D" w14:paraId="08A13C45" w14:textId="77777777" w:rsidTr="00F06AE2">
        <w:tc>
          <w:tcPr>
            <w:tcW w:w="5000" w:type="pct"/>
          </w:tcPr>
          <w:p w14:paraId="4025E3CE" w14:textId="77777777" w:rsidR="00273322" w:rsidRPr="0059083D" w:rsidRDefault="00273322" w:rsidP="00F06AE2">
            <w:pPr>
              <w:rPr>
                <w:lang w:val="fr-CA"/>
              </w:rPr>
            </w:pPr>
          </w:p>
        </w:tc>
      </w:tr>
      <w:tr w:rsidR="006500EB" w:rsidRPr="00EC10D0" w14:paraId="37D7B44D" w14:textId="77777777" w:rsidTr="00F06AE2">
        <w:trPr>
          <w:trHeight w:val="1413"/>
        </w:trPr>
        <w:tc>
          <w:tcPr>
            <w:tcW w:w="5000" w:type="pct"/>
          </w:tcPr>
          <w:p w14:paraId="2C91D2CC" w14:textId="4035AC6C" w:rsidR="00273322" w:rsidRPr="009D4254" w:rsidRDefault="0086447B" w:rsidP="00F06AE2">
            <w:pPr>
              <w:rPr>
                <w:lang w:val="fr-CA"/>
              </w:rPr>
            </w:pPr>
            <w:r w:rsidRPr="009D4254">
              <w:rPr>
                <w:lang w:val="fr-CA"/>
              </w:rPr>
              <w:t>Nom de l’Investisseur</w:t>
            </w:r>
          </w:p>
          <w:p w14:paraId="7150AAA2" w14:textId="12B1028B" w:rsidR="00273322" w:rsidRPr="0059083D" w:rsidRDefault="0086447B" w:rsidP="00F06AE2">
            <w:pPr>
              <w:rPr>
                <w:lang w:val="fr-CA"/>
              </w:rPr>
            </w:pPr>
            <w:r>
              <w:rPr>
                <w:lang w:val="fr-CA"/>
              </w:rPr>
              <w:t>Adresse</w:t>
            </w:r>
          </w:p>
          <w:p w14:paraId="3EAEF07A" w14:textId="0A83384B" w:rsidR="00273322" w:rsidRPr="009D4254" w:rsidRDefault="0086447B" w:rsidP="00F06AE2">
            <w:pPr>
              <w:rPr>
                <w:lang w:val="fr-CA"/>
              </w:rPr>
            </w:pPr>
            <w:r w:rsidRPr="009D4254">
              <w:rPr>
                <w:lang w:val="fr-CA"/>
              </w:rPr>
              <w:t>Numéro de téléphone</w:t>
            </w:r>
          </w:p>
          <w:p w14:paraId="584C5A40" w14:textId="184E825E" w:rsidR="00273322" w:rsidRPr="0059083D" w:rsidRDefault="0086447B" w:rsidP="00F06AE2">
            <w:pPr>
              <w:rPr>
                <w:lang w:val="fr-CA"/>
              </w:rPr>
            </w:pPr>
            <w:r>
              <w:rPr>
                <w:lang w:val="fr-CA"/>
              </w:rPr>
              <w:t>Courriel</w:t>
            </w:r>
          </w:p>
          <w:p w14:paraId="042F329A" w14:textId="2C24201D" w:rsidR="00273322" w:rsidRPr="009D4254" w:rsidRDefault="000B08F2" w:rsidP="00F06AE2">
            <w:pPr>
              <w:rPr>
                <w:lang w:val="fr-CA"/>
              </w:rPr>
            </w:pPr>
            <w:r w:rsidRPr="009D4254">
              <w:rPr>
                <w:lang w:val="fr-CA"/>
              </w:rPr>
              <w:t>[</w:t>
            </w:r>
            <w:r w:rsidR="0086447B" w:rsidRPr="009D4254">
              <w:rPr>
                <w:lang w:val="fr-CA"/>
              </w:rPr>
              <w:t>Conseiller juridique à mettre en</w:t>
            </w:r>
            <w:r w:rsidRPr="009D4254">
              <w:rPr>
                <w:lang w:val="fr-CA"/>
              </w:rPr>
              <w:t xml:space="preserve"> c</w:t>
            </w:r>
            <w:r w:rsidR="0086447B" w:rsidRPr="009D4254">
              <w:rPr>
                <w:lang w:val="fr-CA"/>
              </w:rPr>
              <w:t xml:space="preserve">. </w:t>
            </w:r>
            <w:r w:rsidRPr="009D4254">
              <w:rPr>
                <w:lang w:val="fr-CA"/>
              </w:rPr>
              <w:t>c</w:t>
            </w:r>
            <w:r w:rsidR="0086447B" w:rsidRPr="009D4254">
              <w:rPr>
                <w:lang w:val="fr-CA"/>
              </w:rPr>
              <w:t>., le cas échéant</w:t>
            </w:r>
            <w:r w:rsidRPr="009D4254">
              <w:rPr>
                <w:lang w:val="fr-CA"/>
              </w:rPr>
              <w:t>]]</w:t>
            </w:r>
          </w:p>
          <w:p w14:paraId="21B50042" w14:textId="77777777" w:rsidR="00273322" w:rsidRPr="0059083D" w:rsidRDefault="00273322" w:rsidP="00F06AE2">
            <w:pPr>
              <w:rPr>
                <w:lang w:val="fr-CA"/>
              </w:rPr>
            </w:pPr>
          </w:p>
        </w:tc>
      </w:tr>
      <w:tr w:rsidR="006500EB" w:rsidRPr="00EC10D0" w14:paraId="2A3BC585" w14:textId="77777777" w:rsidTr="00F06AE2">
        <w:trPr>
          <w:trHeight w:val="1413"/>
        </w:trPr>
        <w:tc>
          <w:tcPr>
            <w:tcW w:w="5000" w:type="pct"/>
          </w:tcPr>
          <w:p w14:paraId="6CAFEAD8" w14:textId="77777777" w:rsidR="0086447B" w:rsidRPr="009D4254" w:rsidRDefault="0086447B" w:rsidP="0086447B">
            <w:pPr>
              <w:rPr>
                <w:lang w:val="fr-CA"/>
              </w:rPr>
            </w:pPr>
            <w:r w:rsidRPr="009D4254">
              <w:rPr>
                <w:lang w:val="fr-CA"/>
              </w:rPr>
              <w:t>Nom de l’Investisseur</w:t>
            </w:r>
          </w:p>
          <w:p w14:paraId="33D13F08" w14:textId="77777777" w:rsidR="0086447B" w:rsidRPr="0059083D" w:rsidRDefault="0086447B" w:rsidP="0086447B">
            <w:pPr>
              <w:rPr>
                <w:lang w:val="fr-CA"/>
              </w:rPr>
            </w:pPr>
            <w:r>
              <w:rPr>
                <w:lang w:val="fr-CA"/>
              </w:rPr>
              <w:t>Adresse</w:t>
            </w:r>
          </w:p>
          <w:p w14:paraId="7D6BD25F" w14:textId="77777777" w:rsidR="0086447B" w:rsidRPr="009D4254" w:rsidRDefault="0086447B" w:rsidP="0086447B">
            <w:pPr>
              <w:rPr>
                <w:lang w:val="fr-CA"/>
              </w:rPr>
            </w:pPr>
            <w:r w:rsidRPr="009D4254">
              <w:rPr>
                <w:lang w:val="fr-CA"/>
              </w:rPr>
              <w:t>Numéro de téléphone</w:t>
            </w:r>
          </w:p>
          <w:p w14:paraId="2C7276C1" w14:textId="77777777" w:rsidR="0086447B" w:rsidRPr="0059083D" w:rsidRDefault="0086447B" w:rsidP="0086447B">
            <w:pPr>
              <w:rPr>
                <w:lang w:val="fr-CA"/>
              </w:rPr>
            </w:pPr>
            <w:r>
              <w:rPr>
                <w:lang w:val="fr-CA"/>
              </w:rPr>
              <w:t>Courriel</w:t>
            </w:r>
          </w:p>
          <w:p w14:paraId="29D1DA3F" w14:textId="3E42A7D9" w:rsidR="00273322" w:rsidRPr="009D4254" w:rsidRDefault="0086447B" w:rsidP="0086447B">
            <w:pPr>
              <w:rPr>
                <w:lang w:val="fr-CA"/>
              </w:rPr>
            </w:pPr>
            <w:r w:rsidRPr="009D4254">
              <w:rPr>
                <w:lang w:val="fr-CA"/>
              </w:rPr>
              <w:t>[Conseiller juridique à mettre en c. c., le cas échéant]]</w:t>
            </w:r>
          </w:p>
          <w:p w14:paraId="72AE77ED" w14:textId="77777777" w:rsidR="00273322" w:rsidRPr="0059083D" w:rsidRDefault="00273322" w:rsidP="00F06AE2">
            <w:pPr>
              <w:rPr>
                <w:lang w:val="fr-CA"/>
              </w:rPr>
            </w:pPr>
          </w:p>
        </w:tc>
      </w:tr>
      <w:tr w:rsidR="006500EB" w:rsidRPr="00EC10D0" w14:paraId="089E32CD" w14:textId="77777777" w:rsidTr="00F06AE2">
        <w:trPr>
          <w:trHeight w:val="1413"/>
        </w:trPr>
        <w:tc>
          <w:tcPr>
            <w:tcW w:w="5000" w:type="pct"/>
          </w:tcPr>
          <w:p w14:paraId="03865342" w14:textId="77777777" w:rsidR="0086447B" w:rsidRPr="009D4254" w:rsidRDefault="0086447B" w:rsidP="0086447B">
            <w:pPr>
              <w:rPr>
                <w:lang w:val="fr-CA"/>
              </w:rPr>
            </w:pPr>
            <w:r w:rsidRPr="009D4254">
              <w:rPr>
                <w:lang w:val="fr-CA"/>
              </w:rPr>
              <w:t>Nom de l’Investisseur</w:t>
            </w:r>
          </w:p>
          <w:p w14:paraId="5334CC2A" w14:textId="77777777" w:rsidR="0086447B" w:rsidRPr="0059083D" w:rsidRDefault="0086447B" w:rsidP="0086447B">
            <w:pPr>
              <w:rPr>
                <w:lang w:val="fr-CA"/>
              </w:rPr>
            </w:pPr>
            <w:r>
              <w:rPr>
                <w:lang w:val="fr-CA"/>
              </w:rPr>
              <w:t>Adresse</w:t>
            </w:r>
          </w:p>
          <w:p w14:paraId="2B894226" w14:textId="77777777" w:rsidR="0086447B" w:rsidRPr="009D4254" w:rsidRDefault="0086447B" w:rsidP="0086447B">
            <w:pPr>
              <w:rPr>
                <w:lang w:val="fr-CA"/>
              </w:rPr>
            </w:pPr>
            <w:r w:rsidRPr="009D4254">
              <w:rPr>
                <w:lang w:val="fr-CA"/>
              </w:rPr>
              <w:t>Numéro de téléphone</w:t>
            </w:r>
          </w:p>
          <w:p w14:paraId="4BBB6BF1" w14:textId="77777777" w:rsidR="0086447B" w:rsidRPr="0059083D" w:rsidRDefault="0086447B" w:rsidP="0086447B">
            <w:pPr>
              <w:rPr>
                <w:lang w:val="fr-CA"/>
              </w:rPr>
            </w:pPr>
            <w:r>
              <w:rPr>
                <w:lang w:val="fr-CA"/>
              </w:rPr>
              <w:t>Courriel</w:t>
            </w:r>
          </w:p>
          <w:p w14:paraId="70E7FB42" w14:textId="7028E8F8" w:rsidR="00273322" w:rsidRPr="009D4254" w:rsidRDefault="0086447B" w:rsidP="0086447B">
            <w:pPr>
              <w:rPr>
                <w:lang w:val="fr-CA"/>
              </w:rPr>
            </w:pPr>
            <w:r w:rsidRPr="009D4254">
              <w:rPr>
                <w:lang w:val="fr-CA"/>
              </w:rPr>
              <w:t>[Conseiller juridique à mettre en c. c., le cas échéant]]</w:t>
            </w:r>
          </w:p>
          <w:p w14:paraId="0E9F1967" w14:textId="77777777" w:rsidR="00273322" w:rsidRPr="0059083D" w:rsidRDefault="00273322" w:rsidP="00F06AE2">
            <w:pPr>
              <w:rPr>
                <w:lang w:val="fr-CA"/>
              </w:rPr>
            </w:pPr>
          </w:p>
        </w:tc>
      </w:tr>
    </w:tbl>
    <w:p w14:paraId="380FA6A9" w14:textId="77777777" w:rsidR="00037C7E" w:rsidRPr="0059083D" w:rsidRDefault="00037C7E">
      <w:pPr>
        <w:rPr>
          <w:lang w:val="fr-CA"/>
        </w:rPr>
      </w:pPr>
    </w:p>
    <w:p w14:paraId="4B79601C" w14:textId="77777777" w:rsidR="00037C7E" w:rsidRPr="0059083D" w:rsidRDefault="00037C7E">
      <w:pPr>
        <w:rPr>
          <w:lang w:val="fr-CA"/>
        </w:rPr>
        <w:sectPr w:rsidR="00037C7E" w:rsidRPr="0059083D">
          <w:headerReference w:type="first" r:id="rId26"/>
          <w:footerReference w:type="first" r:id="rId27"/>
          <w:pgSz w:w="12240" w:h="15840" w:code="1"/>
          <w:pgMar w:top="1440" w:right="1440" w:bottom="1440" w:left="1440" w:header="720" w:footer="432" w:gutter="0"/>
          <w:pgNumType w:start="1"/>
          <w:cols w:space="720"/>
          <w:titlePg/>
          <w:docGrid w:linePitch="360"/>
        </w:sectPr>
      </w:pPr>
    </w:p>
    <w:p w14:paraId="0A68ED4A" w14:textId="7B6578FD" w:rsidR="00037C7E" w:rsidRPr="00986BEB" w:rsidRDefault="000B08F2">
      <w:pPr>
        <w:pStyle w:val="ScheduleL1"/>
        <w:rPr>
          <w:color w:val="000000"/>
          <w:lang w:val="fr-CA"/>
        </w:rPr>
      </w:pPr>
      <w:r w:rsidRPr="0059083D">
        <w:rPr>
          <w:lang w:val="fr-CA"/>
        </w:rPr>
        <w:br/>
      </w:r>
      <w:r w:rsidRPr="0059083D">
        <w:rPr>
          <w:lang w:val="fr-CA"/>
        </w:rPr>
        <w:br/>
      </w:r>
      <w:bookmarkStart w:id="453" w:name="_Ref448380673"/>
      <w:bookmarkStart w:id="454" w:name="_Ref132875615"/>
      <w:r w:rsidR="002B4898">
        <w:rPr>
          <w:lang w:val="fr-CA"/>
        </w:rPr>
        <w:t>[</w:t>
      </w:r>
      <w:r w:rsidR="0086447B" w:rsidRPr="009D4254">
        <w:rPr>
          <w:lang w:val="fr-CA"/>
        </w:rPr>
        <w:t>Porteurs clés</w:t>
      </w:r>
      <w:bookmarkEnd w:id="453"/>
      <w:r w:rsidR="002B4898">
        <w:rPr>
          <w:lang w:val="fr-CA"/>
        </w:rPr>
        <w:t>]</w:t>
      </w:r>
      <w:bookmarkEnd w:id="454"/>
    </w:p>
    <w:tbl>
      <w:tblPr>
        <w:tblW w:w="5000" w:type="pct"/>
        <w:tblLook w:val="0000" w:firstRow="0" w:lastRow="0" w:firstColumn="0" w:lastColumn="0" w:noHBand="0" w:noVBand="0"/>
      </w:tblPr>
      <w:tblGrid>
        <w:gridCol w:w="9360"/>
      </w:tblGrid>
      <w:tr w:rsidR="006500EB" w:rsidRPr="0059083D" w14:paraId="705E1A5E" w14:textId="77777777" w:rsidTr="00F06AE2">
        <w:tc>
          <w:tcPr>
            <w:tcW w:w="5000" w:type="pct"/>
          </w:tcPr>
          <w:p w14:paraId="7663DE8F" w14:textId="61A649CC" w:rsidR="00273322" w:rsidRPr="009D4254" w:rsidRDefault="000B08F2" w:rsidP="00F06AE2">
            <w:pPr>
              <w:widowControl w:val="0"/>
              <w:shd w:val="clear" w:color="auto" w:fill="FFFFFF"/>
              <w:autoSpaceDE w:val="0"/>
              <w:autoSpaceDN w:val="0"/>
              <w:rPr>
                <w:b/>
                <w:u w:val="single"/>
                <w:lang w:val="fr-CA"/>
              </w:rPr>
            </w:pPr>
            <w:r w:rsidRPr="009D4254">
              <w:rPr>
                <w:b/>
                <w:u w:val="single"/>
                <w:lang w:val="fr-CA"/>
              </w:rPr>
              <w:t>N</w:t>
            </w:r>
            <w:r w:rsidR="0086447B" w:rsidRPr="009D4254">
              <w:rPr>
                <w:b/>
                <w:u w:val="single"/>
                <w:lang w:val="fr-CA"/>
              </w:rPr>
              <w:t>om et adresse</w:t>
            </w:r>
          </w:p>
        </w:tc>
      </w:tr>
      <w:tr w:rsidR="006500EB" w:rsidRPr="0059083D" w14:paraId="11863F3D" w14:textId="77777777" w:rsidTr="00F06AE2">
        <w:tc>
          <w:tcPr>
            <w:tcW w:w="5000" w:type="pct"/>
          </w:tcPr>
          <w:p w14:paraId="65268341" w14:textId="77777777" w:rsidR="00273322" w:rsidRPr="0059083D" w:rsidRDefault="00273322" w:rsidP="00F06AE2">
            <w:pPr>
              <w:widowControl w:val="0"/>
              <w:shd w:val="clear" w:color="auto" w:fill="FFFFFF"/>
              <w:autoSpaceDE w:val="0"/>
              <w:autoSpaceDN w:val="0"/>
              <w:rPr>
                <w:lang w:val="fr-CA"/>
              </w:rPr>
            </w:pPr>
          </w:p>
        </w:tc>
      </w:tr>
      <w:tr w:rsidR="006500EB" w:rsidRPr="0059083D" w14:paraId="2C17F42C" w14:textId="77777777" w:rsidTr="00F06AE2">
        <w:trPr>
          <w:trHeight w:val="414"/>
        </w:trPr>
        <w:tc>
          <w:tcPr>
            <w:tcW w:w="5000" w:type="pct"/>
          </w:tcPr>
          <w:p w14:paraId="6634CCD7" w14:textId="34E0296E" w:rsidR="00273322" w:rsidRPr="009D4254" w:rsidRDefault="000B08F2" w:rsidP="00F06AE2">
            <w:pPr>
              <w:widowControl w:val="0"/>
              <w:shd w:val="clear" w:color="auto" w:fill="FFFFFF"/>
              <w:tabs>
                <w:tab w:val="left" w:pos="6570"/>
              </w:tabs>
              <w:autoSpaceDE w:val="0"/>
              <w:autoSpaceDN w:val="0"/>
              <w:rPr>
                <w:lang w:val="fr-CA"/>
              </w:rPr>
            </w:pPr>
            <w:r w:rsidRPr="009D4254">
              <w:rPr>
                <w:lang w:val="fr-CA"/>
              </w:rPr>
              <w:t>[</w:t>
            </w:r>
            <w:r w:rsidR="0086447B" w:rsidRPr="009D4254">
              <w:rPr>
                <w:lang w:val="fr-CA"/>
              </w:rPr>
              <w:t xml:space="preserve">Nom du </w:t>
            </w:r>
            <w:r w:rsidR="00E67397" w:rsidRPr="009D4254">
              <w:rPr>
                <w:lang w:val="fr-CA"/>
              </w:rPr>
              <w:t>Porteur clé</w:t>
            </w:r>
            <w:r w:rsidRPr="009D4254">
              <w:rPr>
                <w:lang w:val="fr-CA"/>
              </w:rPr>
              <w:t xml:space="preserve"> </w:t>
            </w:r>
          </w:p>
          <w:p w14:paraId="12A35177" w14:textId="67B9A786" w:rsidR="00273322" w:rsidRPr="0059083D" w:rsidRDefault="000B08F2" w:rsidP="00F06AE2">
            <w:pPr>
              <w:widowControl w:val="0"/>
              <w:shd w:val="clear" w:color="auto" w:fill="FFFFFF"/>
              <w:tabs>
                <w:tab w:val="left" w:pos="6570"/>
              </w:tabs>
              <w:autoSpaceDE w:val="0"/>
              <w:autoSpaceDN w:val="0"/>
              <w:rPr>
                <w:lang w:val="fr-CA"/>
              </w:rPr>
            </w:pPr>
            <w:r w:rsidRPr="009D4254">
              <w:rPr>
                <w:lang w:val="fr-CA"/>
              </w:rPr>
              <w:t>Adress</w:t>
            </w:r>
            <w:r w:rsidR="0086447B">
              <w:rPr>
                <w:lang w:val="fr-CA"/>
              </w:rPr>
              <w:t>e</w:t>
            </w:r>
          </w:p>
          <w:p w14:paraId="1E78F14A" w14:textId="2B853F63" w:rsidR="00273322" w:rsidRPr="009D4254" w:rsidRDefault="0086447B" w:rsidP="00F06AE2">
            <w:pPr>
              <w:widowControl w:val="0"/>
              <w:shd w:val="clear" w:color="auto" w:fill="FFFFFF"/>
              <w:autoSpaceDE w:val="0"/>
              <w:autoSpaceDN w:val="0"/>
              <w:rPr>
                <w:lang w:val="fr-CA"/>
              </w:rPr>
            </w:pPr>
            <w:r w:rsidRPr="009D4254">
              <w:rPr>
                <w:lang w:val="fr-CA"/>
              </w:rPr>
              <w:t>Numéro de téléphone</w:t>
            </w:r>
          </w:p>
          <w:p w14:paraId="20CD5A0F" w14:textId="32D0F966" w:rsidR="00273322" w:rsidRPr="009D4254" w:rsidRDefault="0086447B" w:rsidP="00F06AE2">
            <w:pPr>
              <w:widowControl w:val="0"/>
              <w:shd w:val="clear" w:color="auto" w:fill="FFFFFF"/>
              <w:autoSpaceDE w:val="0"/>
              <w:autoSpaceDN w:val="0"/>
              <w:rPr>
                <w:lang w:val="fr-CA"/>
              </w:rPr>
            </w:pPr>
            <w:r w:rsidRPr="009D4254">
              <w:rPr>
                <w:lang w:val="fr-CA"/>
              </w:rPr>
              <w:t>Courriel</w:t>
            </w:r>
            <w:r w:rsidR="000B08F2" w:rsidRPr="009D4254">
              <w:rPr>
                <w:lang w:val="fr-CA"/>
              </w:rPr>
              <w:t>]</w:t>
            </w:r>
          </w:p>
          <w:p w14:paraId="0104B171" w14:textId="77777777" w:rsidR="00273322" w:rsidRPr="0059083D" w:rsidRDefault="00273322" w:rsidP="00F06AE2">
            <w:pPr>
              <w:widowControl w:val="0"/>
              <w:shd w:val="clear" w:color="auto" w:fill="FFFFFF"/>
              <w:autoSpaceDE w:val="0"/>
              <w:autoSpaceDN w:val="0"/>
              <w:rPr>
                <w:lang w:val="fr-CA"/>
              </w:rPr>
            </w:pPr>
          </w:p>
        </w:tc>
      </w:tr>
      <w:tr w:rsidR="006500EB" w:rsidRPr="0059083D" w14:paraId="3A6618F4" w14:textId="77777777" w:rsidTr="00F06AE2">
        <w:trPr>
          <w:trHeight w:val="414"/>
        </w:trPr>
        <w:tc>
          <w:tcPr>
            <w:tcW w:w="5000" w:type="pct"/>
          </w:tcPr>
          <w:p w14:paraId="050CB4C6" w14:textId="77777777" w:rsidR="0086447B" w:rsidRPr="009D4254" w:rsidRDefault="0086447B" w:rsidP="0086447B">
            <w:pPr>
              <w:widowControl w:val="0"/>
              <w:shd w:val="clear" w:color="auto" w:fill="FFFFFF"/>
              <w:tabs>
                <w:tab w:val="left" w:pos="6570"/>
              </w:tabs>
              <w:autoSpaceDE w:val="0"/>
              <w:autoSpaceDN w:val="0"/>
              <w:rPr>
                <w:lang w:val="fr-CA"/>
              </w:rPr>
            </w:pPr>
            <w:r w:rsidRPr="009D4254">
              <w:rPr>
                <w:lang w:val="fr-CA"/>
              </w:rPr>
              <w:t xml:space="preserve">[Nom du Porteur clé </w:t>
            </w:r>
          </w:p>
          <w:p w14:paraId="537FBA7D" w14:textId="77777777" w:rsidR="0086447B" w:rsidRPr="0059083D" w:rsidRDefault="0086447B" w:rsidP="0086447B">
            <w:pPr>
              <w:widowControl w:val="0"/>
              <w:shd w:val="clear" w:color="auto" w:fill="FFFFFF"/>
              <w:tabs>
                <w:tab w:val="left" w:pos="6570"/>
              </w:tabs>
              <w:autoSpaceDE w:val="0"/>
              <w:autoSpaceDN w:val="0"/>
              <w:rPr>
                <w:lang w:val="fr-CA"/>
              </w:rPr>
            </w:pPr>
            <w:r w:rsidRPr="009D4254">
              <w:rPr>
                <w:lang w:val="fr-CA"/>
              </w:rPr>
              <w:t>Adress</w:t>
            </w:r>
            <w:r>
              <w:rPr>
                <w:lang w:val="fr-CA"/>
              </w:rPr>
              <w:t>e</w:t>
            </w:r>
          </w:p>
          <w:p w14:paraId="66222DD7" w14:textId="77777777" w:rsidR="0086447B" w:rsidRPr="009D4254" w:rsidRDefault="0086447B" w:rsidP="0086447B">
            <w:pPr>
              <w:widowControl w:val="0"/>
              <w:shd w:val="clear" w:color="auto" w:fill="FFFFFF"/>
              <w:autoSpaceDE w:val="0"/>
              <w:autoSpaceDN w:val="0"/>
              <w:rPr>
                <w:lang w:val="fr-CA"/>
              </w:rPr>
            </w:pPr>
            <w:r w:rsidRPr="009D4254">
              <w:rPr>
                <w:lang w:val="fr-CA"/>
              </w:rPr>
              <w:t>Numéro de téléphone</w:t>
            </w:r>
          </w:p>
          <w:p w14:paraId="4845888A" w14:textId="77777777" w:rsidR="0086447B" w:rsidRPr="009D4254" w:rsidRDefault="0086447B" w:rsidP="0086447B">
            <w:pPr>
              <w:widowControl w:val="0"/>
              <w:shd w:val="clear" w:color="auto" w:fill="FFFFFF"/>
              <w:autoSpaceDE w:val="0"/>
              <w:autoSpaceDN w:val="0"/>
              <w:rPr>
                <w:lang w:val="fr-CA"/>
              </w:rPr>
            </w:pPr>
            <w:r w:rsidRPr="009D4254">
              <w:rPr>
                <w:lang w:val="fr-CA"/>
              </w:rPr>
              <w:t>Courriel]</w:t>
            </w:r>
          </w:p>
          <w:p w14:paraId="1B34246D" w14:textId="77777777" w:rsidR="00273322" w:rsidRPr="0059083D" w:rsidRDefault="00273322" w:rsidP="00F06AE2">
            <w:pPr>
              <w:widowControl w:val="0"/>
              <w:shd w:val="clear" w:color="auto" w:fill="FFFFFF"/>
              <w:tabs>
                <w:tab w:val="left" w:pos="6570"/>
              </w:tabs>
              <w:autoSpaceDE w:val="0"/>
              <w:autoSpaceDN w:val="0"/>
              <w:rPr>
                <w:lang w:val="fr-CA"/>
              </w:rPr>
            </w:pPr>
          </w:p>
        </w:tc>
      </w:tr>
      <w:tr w:rsidR="006500EB" w:rsidRPr="0059083D" w14:paraId="19B410E8" w14:textId="77777777" w:rsidTr="00F06AE2">
        <w:trPr>
          <w:trHeight w:val="414"/>
        </w:trPr>
        <w:tc>
          <w:tcPr>
            <w:tcW w:w="5000" w:type="pct"/>
          </w:tcPr>
          <w:p w14:paraId="2E940481" w14:textId="77777777" w:rsidR="0086447B" w:rsidRPr="009D4254" w:rsidRDefault="0086447B" w:rsidP="0086447B">
            <w:pPr>
              <w:widowControl w:val="0"/>
              <w:shd w:val="clear" w:color="auto" w:fill="FFFFFF"/>
              <w:tabs>
                <w:tab w:val="left" w:pos="6570"/>
              </w:tabs>
              <w:autoSpaceDE w:val="0"/>
              <w:autoSpaceDN w:val="0"/>
              <w:rPr>
                <w:lang w:val="fr-CA"/>
              </w:rPr>
            </w:pPr>
            <w:r w:rsidRPr="009D4254">
              <w:rPr>
                <w:lang w:val="fr-CA"/>
              </w:rPr>
              <w:t xml:space="preserve">[Nom du Porteur clé </w:t>
            </w:r>
          </w:p>
          <w:p w14:paraId="7F7D91B1" w14:textId="77777777" w:rsidR="0086447B" w:rsidRPr="0059083D" w:rsidRDefault="0086447B" w:rsidP="0086447B">
            <w:pPr>
              <w:widowControl w:val="0"/>
              <w:shd w:val="clear" w:color="auto" w:fill="FFFFFF"/>
              <w:tabs>
                <w:tab w:val="left" w:pos="6570"/>
              </w:tabs>
              <w:autoSpaceDE w:val="0"/>
              <w:autoSpaceDN w:val="0"/>
              <w:rPr>
                <w:lang w:val="fr-CA"/>
              </w:rPr>
            </w:pPr>
            <w:r w:rsidRPr="009D4254">
              <w:rPr>
                <w:lang w:val="fr-CA"/>
              </w:rPr>
              <w:t>Adress</w:t>
            </w:r>
            <w:r>
              <w:rPr>
                <w:lang w:val="fr-CA"/>
              </w:rPr>
              <w:t>e</w:t>
            </w:r>
          </w:p>
          <w:p w14:paraId="0F4B226C" w14:textId="77777777" w:rsidR="0086447B" w:rsidRPr="009D4254" w:rsidRDefault="0086447B" w:rsidP="0086447B">
            <w:pPr>
              <w:widowControl w:val="0"/>
              <w:shd w:val="clear" w:color="auto" w:fill="FFFFFF"/>
              <w:autoSpaceDE w:val="0"/>
              <w:autoSpaceDN w:val="0"/>
              <w:rPr>
                <w:lang w:val="fr-CA"/>
              </w:rPr>
            </w:pPr>
            <w:r w:rsidRPr="009D4254">
              <w:rPr>
                <w:lang w:val="fr-CA"/>
              </w:rPr>
              <w:t>Numéro de téléphone</w:t>
            </w:r>
          </w:p>
          <w:p w14:paraId="50744B18" w14:textId="77777777" w:rsidR="0086447B" w:rsidRPr="009D4254" w:rsidRDefault="0086447B" w:rsidP="0086447B">
            <w:pPr>
              <w:widowControl w:val="0"/>
              <w:shd w:val="clear" w:color="auto" w:fill="FFFFFF"/>
              <w:autoSpaceDE w:val="0"/>
              <w:autoSpaceDN w:val="0"/>
              <w:rPr>
                <w:lang w:val="fr-CA"/>
              </w:rPr>
            </w:pPr>
            <w:r w:rsidRPr="009D4254">
              <w:rPr>
                <w:lang w:val="fr-CA"/>
              </w:rPr>
              <w:t>Courriel]</w:t>
            </w:r>
          </w:p>
          <w:p w14:paraId="4FC02764" w14:textId="77777777" w:rsidR="00273322" w:rsidRPr="0059083D" w:rsidRDefault="00273322" w:rsidP="0086447B">
            <w:pPr>
              <w:widowControl w:val="0"/>
              <w:shd w:val="clear" w:color="auto" w:fill="FFFFFF"/>
              <w:autoSpaceDE w:val="0"/>
              <w:autoSpaceDN w:val="0"/>
              <w:rPr>
                <w:lang w:val="fr-CA"/>
              </w:rPr>
            </w:pPr>
          </w:p>
        </w:tc>
      </w:tr>
    </w:tbl>
    <w:p w14:paraId="2BF94523" w14:textId="77777777" w:rsidR="00273322" w:rsidRPr="0059083D" w:rsidRDefault="00273322" w:rsidP="00322DFB">
      <w:pPr>
        <w:rPr>
          <w:lang w:val="fr-CA"/>
        </w:rPr>
      </w:pPr>
    </w:p>
    <w:sectPr w:rsidR="00273322" w:rsidRPr="0059083D">
      <w:headerReference w:type="first" r:id="rId28"/>
      <w:footerReference w:type="first" r:id="rId29"/>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F8ATAAxAA==" wne:acdName="acd0" wne:fciIndexBasedOn="0065"/>
    <wne:acd wne:argValue="AgBEAGUAZgBpAG4AaQB0AGkAbwBuAF8ATAAyAA==" wne:acdName="acd1" wne:fciIndexBasedOn="0065"/>
    <wne:acd wne:argValue="AgBEAGUAZgBpAG4AaQB0AGkAbwBuAF8ATAAzAA==" wne:acdName="acd2" wne:fciIndexBasedOn="0065"/>
    <wne:acd wne:argValue="AgBEAGUAZgBpAG4AaQB0AGkAbwBuAF8ATAA0AA==" wne:acdName="acd3" wne:fciIndexBasedOn="0065"/>
    <wne:acd wne:argValue="AgBEAGUAZgBpAG4AaQB0AGkAbwBuAF8ATAA1AA==" wne:acdName="acd4" wne:fciIndexBasedOn="0065"/>
    <wne:acd wne:argValue="AgBEAGUAZgBpAG4AaQB0AGkAbwBuAF8ATAA2AA==" wne:acdName="acd5" wne:fciIndexBasedOn="0065"/>
    <wne:acd wne:argValue="AgBEAGUAZgBpAG4AaQB0AGkAbwBuAF8ATAA3AA==" wne:acdName="acd6" wne:fciIndexBasedOn="0065"/>
    <wne:acd wne:argValue="AgBEAGUAZgBpAG4AaQB0AGkAbwBuAF8ATAA4AA==" wne:acdName="acd7" wne:fciIndexBasedOn="0065"/>
    <wne:acd wne:argValue="AgBEAGUAZgBpAG4AaQB0AGkAbwBuAF8ATAA5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AB17" w14:textId="77777777" w:rsidR="00D1217C" w:rsidRDefault="00D1217C">
      <w:r>
        <w:separator/>
      </w:r>
    </w:p>
  </w:endnote>
  <w:endnote w:type="continuationSeparator" w:id="0">
    <w:p w14:paraId="10BA8702" w14:textId="77777777" w:rsidR="00D1217C" w:rsidRDefault="00D1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C54B" w14:textId="77777777" w:rsidR="00D106C7" w:rsidRDefault="00D106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BEFD" w14:textId="77777777" w:rsidR="00D106C7" w:rsidRDefault="00D106C7" w:rsidP="00F1670D">
    <w:pPr>
      <w:pStyle w:val="Footer"/>
      <w:ind w:left="-144"/>
    </w:pPr>
    <w:r>
      <w:rPr>
        <w:noProof/>
        <w:lang w:val="en-GB" w:eastAsia="en-GB"/>
      </w:rPr>
      <mc:AlternateContent>
        <mc:Choice Requires="wps">
          <w:drawing>
            <wp:anchor distT="0" distB="0" distL="114300" distR="114300" simplePos="0" relativeHeight="251675648" behindDoc="1" locked="0" layoutInCell="1" allowOverlap="1" wp14:anchorId="5B02D67C" wp14:editId="16EB4684">
              <wp:simplePos x="0" y="0"/>
              <wp:positionH relativeFrom="margin">
                <wp:posOffset>0</wp:posOffset>
              </wp:positionH>
              <wp:positionV relativeFrom="page">
                <wp:align>bottom</wp:align>
              </wp:positionV>
              <wp:extent cx="2560320" cy="640080"/>
              <wp:effectExtent l="0" t="0" r="11430" b="7620"/>
              <wp:wrapNone/>
              <wp:docPr id="1208250888" name="zzmpTrailer_1078_6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425D" w14:textId="77777777" w:rsidR="00D106C7" w:rsidRDefault="00D106C7" w:rsidP="00F1670D">
                          <w:pPr>
                            <w:pStyle w:val="MacPacTrailer"/>
                            <w:spacing w:line="20" w:lineRule="exact"/>
                          </w:pPr>
                        </w:p>
                        <w:p w14:paraId="46D5DE00" w14:textId="77777777" w:rsidR="00D106C7" w:rsidRDefault="00D106C7" w:rsidP="00F1670D">
                          <w:pPr>
                            <w:pStyle w:val="MacPacTrailer"/>
                          </w:pPr>
                          <w:r>
                            <w:t>WSLEGAL\058404\00011\36511818v2</w:t>
                          </w:r>
                        </w:p>
                        <w:p w14:paraId="15B2755A" w14:textId="77777777" w:rsidR="00D106C7" w:rsidRDefault="00D106C7" w:rsidP="00F1670D">
                          <w:pPr>
                            <w:pStyle w:val="MacPacTrailer"/>
                            <w:spacing w:line="20" w:lineRule="exact"/>
                          </w:pPr>
                        </w:p>
                        <w:p w14:paraId="7A4CBEE1" w14:textId="77777777" w:rsidR="00D106C7" w:rsidRDefault="00D106C7" w:rsidP="00F1670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2D67C" id="_x0000_t202" coordsize="21600,21600" o:spt="202" path="m,l,21600r21600,l21600,xe">
              <v:stroke joinstyle="miter"/>
              <v:path gradientshapeok="t" o:connecttype="rect"/>
            </v:shapetype>
            <v:shape id="zzmpTrailer_1078_6B" o:spid="_x0000_s1032" type="#_x0000_t202" style="position:absolute;left:0;text-align:left;margin-left:0;margin-top:0;width:201.6pt;height:50.4pt;z-index:-25164083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Plp30&#10;2gEAAJgDAAAOAAAAAAAAAAAAAAAAAC4CAABkcnMvZTJvRG9jLnhtbFBLAQItABQABgAIAAAAIQCJ&#10;EBaJ2wAAAAUBAAAPAAAAAAAAAAAAAAAAADQEAABkcnMvZG93bnJldi54bWxQSwUGAAAAAAQABADz&#10;AAAAPAUAAAAA&#10;" filled="f" stroked="f">
              <v:textbox inset="0,0,0,0">
                <w:txbxContent>
                  <w:p w14:paraId="7DC3425D" w14:textId="77777777" w:rsidR="00D106C7" w:rsidRDefault="00D106C7" w:rsidP="00F1670D">
                    <w:pPr>
                      <w:pStyle w:val="MacPacTrailer"/>
                      <w:spacing w:line="20" w:lineRule="exact"/>
                    </w:pPr>
                  </w:p>
                  <w:p w14:paraId="46D5DE00" w14:textId="77777777" w:rsidR="00D106C7" w:rsidRDefault="00D106C7" w:rsidP="00F1670D">
                    <w:pPr>
                      <w:pStyle w:val="MacPacTrailer"/>
                    </w:pPr>
                    <w:r>
                      <w:t>WSLEGAL\058404\00011\36511818v2</w:t>
                    </w:r>
                  </w:p>
                  <w:p w14:paraId="15B2755A" w14:textId="77777777" w:rsidR="00D106C7" w:rsidRDefault="00D106C7" w:rsidP="00F1670D">
                    <w:pPr>
                      <w:pStyle w:val="MacPacTrailer"/>
                      <w:spacing w:line="20" w:lineRule="exact"/>
                    </w:pPr>
                  </w:p>
                  <w:p w14:paraId="7A4CBEE1" w14:textId="77777777" w:rsidR="00D106C7" w:rsidRDefault="00D106C7" w:rsidP="00F1670D">
                    <w:pPr>
                      <w:pStyle w:val="MacPacTrailer"/>
                      <w:spacing w:line="20" w:lineRule="exact"/>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0881" w14:textId="44E6EDD7" w:rsidR="00AE1D96" w:rsidRPr="00D106C7" w:rsidRDefault="00D106C7" w:rsidP="00D106C7">
    <w:pPr>
      <w:pStyle w:val="Footer"/>
    </w:pPr>
    <w:r>
      <w:rPr>
        <w:noProof/>
        <w:lang w:val="en-GB" w:eastAsia="en-GB"/>
      </w:rPr>
      <w:pict w14:anchorId="32FC9376">
        <v:shapetype id="_x0000_t202" coordsize="21600,21600" o:spt="202" path="m,l,21600r21600,l21600,xe">
          <v:stroke joinstyle="miter"/>
          <v:path gradientshapeok="t" o:connecttype="rect"/>
        </v:shapetype>
        <v:shape id="zzmpTrailer_1078_19" o:spid="_x0000_s1029" type="#_x0000_t202" style="position:absolute;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1EB1F22E" w14:textId="17CDA842" w:rsidR="00D106C7" w:rsidRDefault="00D106C7" w:rsidP="00D106C7">
                <w:pPr>
                  <w:pStyle w:val="MacPacTrailer"/>
                  <w:spacing w:line="20" w:lineRule="exact"/>
                </w:pPr>
              </w:p>
              <w:p w14:paraId="2BA4A029" w14:textId="5ED5648D" w:rsidR="00D106C7" w:rsidRDefault="00D106C7">
                <w:pPr>
                  <w:pStyle w:val="MacPacTrailer"/>
                </w:pPr>
                <w:r>
                  <w:t>WSLEGAL\058404\00011\36511818v2</w:t>
                </w:r>
              </w:p>
              <w:p w14:paraId="65A10961" w14:textId="0D55D109" w:rsidR="00D106C7" w:rsidRDefault="00D106C7" w:rsidP="00D106C7">
                <w:pPr>
                  <w:pStyle w:val="MacPacTrailer"/>
                  <w:spacing w:line="20" w:lineRule="exact"/>
                </w:pPr>
              </w:p>
              <w:p w14:paraId="6DF1A8D3" w14:textId="7F0DA347" w:rsidR="00D106C7" w:rsidRDefault="00D106C7" w:rsidP="00D106C7">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7EF6" w14:textId="77777777" w:rsidR="00D106C7" w:rsidRDefault="000B08F2">
    <w:pPr>
      <w:pStyle w:val="Footer"/>
      <w:ind w:left="-144"/>
      <w:rPr>
        <w:lang w:val="fr-CA"/>
      </w:rPr>
    </w:pPr>
    <w:r w:rsidRPr="00382E39">
      <w:rPr>
        <w:lang w:val="fr-CA"/>
      </w:rPr>
      <w:tab/>
    </w:r>
    <w:r w:rsidRPr="00382E39">
      <w:rPr>
        <w:lang w:val="fr-CA"/>
      </w:rPr>
      <w:tab/>
    </w:r>
    <w:r w:rsidR="00382E39" w:rsidRPr="00382E39">
      <w:rPr>
        <w:lang w:val="fr-CA"/>
      </w:rPr>
      <w:t>Version canadienne</w:t>
    </w:r>
    <w:r w:rsidRPr="00382E39">
      <w:rPr>
        <w:lang w:val="fr-CA"/>
      </w:rPr>
      <w:br/>
    </w:r>
    <w:r w:rsidRPr="00382E39">
      <w:rPr>
        <w:lang w:val="fr-CA"/>
      </w:rPr>
      <w:tab/>
    </w:r>
    <w:r w:rsidRPr="00382E39">
      <w:rPr>
        <w:lang w:val="fr-CA"/>
      </w:rPr>
      <w:tab/>
    </w:r>
    <w:r w:rsidR="00382E39" w:rsidRPr="00382E39">
      <w:rPr>
        <w:lang w:val="fr-CA"/>
      </w:rPr>
      <w:t>Dernière mise à jour </w:t>
    </w:r>
    <w:r w:rsidRPr="00382E39">
      <w:rPr>
        <w:lang w:val="fr-CA"/>
      </w:rPr>
      <w:t xml:space="preserve">: </w:t>
    </w:r>
    <w:r w:rsidR="00382E39" w:rsidRPr="00382E39">
      <w:rPr>
        <w:lang w:val="fr-CA"/>
      </w:rPr>
      <w:t>n</w:t>
    </w:r>
    <w:r w:rsidRPr="00382E39">
      <w:rPr>
        <w:lang w:val="fr-CA"/>
      </w:rPr>
      <w:t>ovemb</w:t>
    </w:r>
    <w:r w:rsidR="00382E39" w:rsidRPr="00382E39">
      <w:rPr>
        <w:lang w:val="fr-CA"/>
      </w:rPr>
      <w:t>re </w:t>
    </w:r>
    <w:r w:rsidRPr="00986BEB">
      <w:rPr>
        <w:lang w:val="fr-CA"/>
      </w:rPr>
      <w:t>2020</w:t>
    </w:r>
  </w:p>
  <w:p w14:paraId="0519F606" w14:textId="77777777" w:rsidR="00D106C7" w:rsidRDefault="00D106C7">
    <w:pPr>
      <w:pStyle w:val="Footer"/>
      <w:ind w:left="-144"/>
    </w:pPr>
    <w:r>
      <w:rPr>
        <w:noProof/>
        <w:lang w:val="en-GB" w:eastAsia="en-GB"/>
      </w:rPr>
      <w:pict w14:anchorId="5D8A39AB">
        <v:shapetype id="_x0000_t202" coordsize="21600,21600" o:spt="202" path="m,l,21600r21600,l21600,xe">
          <v:stroke joinstyle="miter"/>
          <v:path gradientshapeok="t" o:connecttype="rect"/>
        </v:shapetype>
        <v:shape id="zzmpTrailer_1078_1B" o:spid="_x0000_s103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1AD344FE" w14:textId="00B9BB94" w:rsidR="00D106C7" w:rsidRDefault="00D106C7" w:rsidP="00D106C7">
                <w:pPr>
                  <w:pStyle w:val="MacPacTrailer"/>
                  <w:spacing w:line="20" w:lineRule="exact"/>
                </w:pPr>
              </w:p>
              <w:p w14:paraId="360A7F05" w14:textId="7398BA2A" w:rsidR="00D106C7" w:rsidRDefault="00D106C7">
                <w:pPr>
                  <w:pStyle w:val="MacPacTrailer"/>
                </w:pPr>
                <w:r>
                  <w:t>WSLEGAL\058404\00011\36511818v2</w:t>
                </w:r>
              </w:p>
              <w:p w14:paraId="4BB7A5E0" w14:textId="5EF3DD2F" w:rsidR="00D106C7" w:rsidRDefault="00D106C7" w:rsidP="00D106C7">
                <w:pPr>
                  <w:pStyle w:val="MacPacTrailer"/>
                  <w:spacing w:line="20" w:lineRule="exact"/>
                </w:pPr>
              </w:p>
              <w:p w14:paraId="5F637204" w14:textId="4361389F" w:rsidR="00D106C7" w:rsidRDefault="00D106C7" w:rsidP="00D106C7">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C264" w14:textId="77777777" w:rsidR="00D106C7" w:rsidRDefault="00D106C7" w:rsidP="00BF4083">
    <w:pPr>
      <w:pStyle w:val="Footer"/>
    </w:pPr>
    <w:r>
      <w:rPr>
        <w:noProof/>
        <w:lang w:val="en-GB" w:eastAsia="en-GB"/>
      </w:rPr>
      <mc:AlternateContent>
        <mc:Choice Requires="wps">
          <w:drawing>
            <wp:anchor distT="0" distB="0" distL="114300" distR="114300" simplePos="0" relativeHeight="251663360" behindDoc="1" locked="0" layoutInCell="1" allowOverlap="1" wp14:anchorId="5C221DF7" wp14:editId="23E469F1">
              <wp:simplePos x="0" y="0"/>
              <wp:positionH relativeFrom="margin">
                <wp:posOffset>0</wp:posOffset>
              </wp:positionH>
              <wp:positionV relativeFrom="page">
                <wp:align>bottom</wp:align>
              </wp:positionV>
              <wp:extent cx="2560320" cy="640080"/>
              <wp:effectExtent l="0" t="0" r="11430" b="762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668B" w14:textId="77777777" w:rsidR="00D106C7" w:rsidRDefault="00D106C7" w:rsidP="00BF4083">
                          <w:pPr>
                            <w:pStyle w:val="MacPacTrailer"/>
                            <w:spacing w:line="20" w:lineRule="exact"/>
                          </w:pPr>
                        </w:p>
                        <w:p w14:paraId="77E5CB9E" w14:textId="77777777" w:rsidR="00D106C7" w:rsidRDefault="00D106C7" w:rsidP="00BF4083">
                          <w:pPr>
                            <w:pStyle w:val="MacPacTrailer"/>
                          </w:pPr>
                          <w:r>
                            <w:t>WSLEGAL\058404\00011\36511818v2</w:t>
                          </w:r>
                        </w:p>
                        <w:p w14:paraId="45C16688" w14:textId="77777777" w:rsidR="00D106C7" w:rsidRDefault="00D106C7" w:rsidP="00BF4083">
                          <w:pPr>
                            <w:pStyle w:val="MacPacTrailer"/>
                            <w:spacing w:line="20" w:lineRule="exact"/>
                          </w:pPr>
                        </w:p>
                        <w:p w14:paraId="27874C3F" w14:textId="77777777" w:rsidR="00D106C7" w:rsidRDefault="00D106C7" w:rsidP="00BF408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21DF7" id="_x0000_t202" coordsize="21600,21600" o:spt="202" path="m,l,21600r21600,l21600,xe">
              <v:stroke joinstyle="miter"/>
              <v:path gradientshapeok="t" o:connecttype="rect"/>
            </v:shapetype>
            <v:shape id="zzmpTrailer_1078_29" o:spid="_x0000_s1026" type="#_x0000_t202" style="position:absolute;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55B7668B" w14:textId="77777777" w:rsidR="00D106C7" w:rsidRDefault="00D106C7" w:rsidP="00BF4083">
                    <w:pPr>
                      <w:pStyle w:val="MacPacTrailer"/>
                      <w:spacing w:line="20" w:lineRule="exact"/>
                    </w:pPr>
                  </w:p>
                  <w:p w14:paraId="77E5CB9E" w14:textId="77777777" w:rsidR="00D106C7" w:rsidRDefault="00D106C7" w:rsidP="00BF4083">
                    <w:pPr>
                      <w:pStyle w:val="MacPacTrailer"/>
                    </w:pPr>
                    <w:r>
                      <w:t>WSLEGAL\058404\00011\36511818v2</w:t>
                    </w:r>
                  </w:p>
                  <w:p w14:paraId="45C16688" w14:textId="77777777" w:rsidR="00D106C7" w:rsidRDefault="00D106C7" w:rsidP="00BF4083">
                    <w:pPr>
                      <w:pStyle w:val="MacPacTrailer"/>
                      <w:spacing w:line="20" w:lineRule="exact"/>
                    </w:pPr>
                  </w:p>
                  <w:p w14:paraId="27874C3F" w14:textId="77777777" w:rsidR="00D106C7" w:rsidRDefault="00D106C7" w:rsidP="00BF4083">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EC4C" w14:textId="77777777" w:rsidR="00D106C7" w:rsidRDefault="00D106C7" w:rsidP="00F1670D">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14ED0EA8" wp14:editId="6557FDFF">
              <wp:simplePos x="0" y="0"/>
              <wp:positionH relativeFrom="margin">
                <wp:posOffset>0</wp:posOffset>
              </wp:positionH>
              <wp:positionV relativeFrom="page">
                <wp:align>bottom</wp:align>
              </wp:positionV>
              <wp:extent cx="2560320" cy="640080"/>
              <wp:effectExtent l="0" t="0" r="11430" b="762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8AA90" w14:textId="77777777" w:rsidR="00D106C7" w:rsidRDefault="00D106C7" w:rsidP="00F1670D">
                          <w:pPr>
                            <w:pStyle w:val="MacPacTrailer"/>
                            <w:spacing w:line="20" w:lineRule="exact"/>
                          </w:pPr>
                        </w:p>
                        <w:p w14:paraId="4BE44714" w14:textId="77777777" w:rsidR="00D106C7" w:rsidRDefault="00D106C7" w:rsidP="00F1670D">
                          <w:pPr>
                            <w:pStyle w:val="MacPacTrailer"/>
                          </w:pPr>
                          <w:r>
                            <w:t>WSLEGAL\058404\00011\36511818v2</w:t>
                          </w:r>
                        </w:p>
                        <w:p w14:paraId="0F87B258" w14:textId="77777777" w:rsidR="00D106C7" w:rsidRDefault="00D106C7" w:rsidP="00F1670D">
                          <w:pPr>
                            <w:pStyle w:val="MacPacTrailer"/>
                            <w:spacing w:line="20" w:lineRule="exact"/>
                          </w:pPr>
                        </w:p>
                        <w:p w14:paraId="63D198E8" w14:textId="77777777" w:rsidR="00D106C7" w:rsidRDefault="00D106C7" w:rsidP="00F1670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D0EA8" id="_x0000_t202" coordsize="21600,21600" o:spt="202" path="m,l,21600r21600,l21600,xe">
              <v:stroke joinstyle="miter"/>
              <v:path gradientshapeok="t" o:connecttype="rect"/>
            </v:shapetype>
            <v:shape id="zzmpTrailer_1078_2B"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6FE8AA90" w14:textId="77777777" w:rsidR="00D106C7" w:rsidRDefault="00D106C7" w:rsidP="00F1670D">
                    <w:pPr>
                      <w:pStyle w:val="MacPacTrailer"/>
                      <w:spacing w:line="20" w:lineRule="exact"/>
                    </w:pPr>
                  </w:p>
                  <w:p w14:paraId="4BE44714" w14:textId="77777777" w:rsidR="00D106C7" w:rsidRDefault="00D106C7" w:rsidP="00F1670D">
                    <w:pPr>
                      <w:pStyle w:val="MacPacTrailer"/>
                    </w:pPr>
                    <w:r>
                      <w:t>WSLEGAL\058404\00011\36511818v2</w:t>
                    </w:r>
                  </w:p>
                  <w:p w14:paraId="0F87B258" w14:textId="77777777" w:rsidR="00D106C7" w:rsidRDefault="00D106C7" w:rsidP="00F1670D">
                    <w:pPr>
                      <w:pStyle w:val="MacPacTrailer"/>
                      <w:spacing w:line="20" w:lineRule="exact"/>
                    </w:pPr>
                  </w:p>
                  <w:p w14:paraId="63D198E8" w14:textId="77777777" w:rsidR="00D106C7" w:rsidRDefault="00D106C7" w:rsidP="00F1670D">
                    <w:pPr>
                      <w:pStyle w:val="MacPacTrailer"/>
                      <w:spacing w:line="20" w:lineRule="exact"/>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9A0B" w14:textId="77777777" w:rsidR="00D106C7" w:rsidRDefault="00D106C7" w:rsidP="00BF4083">
    <w:pPr>
      <w:pStyle w:val="Footer"/>
    </w:pPr>
    <w:r>
      <w:rPr>
        <w:noProof/>
        <w:lang w:val="en-GB" w:eastAsia="en-GB"/>
      </w:rPr>
      <mc:AlternateContent>
        <mc:Choice Requires="wps">
          <w:drawing>
            <wp:anchor distT="0" distB="0" distL="114300" distR="114300" simplePos="0" relativeHeight="251667456" behindDoc="1" locked="0" layoutInCell="1" allowOverlap="1" wp14:anchorId="43E05B0F" wp14:editId="111217BC">
              <wp:simplePos x="0" y="0"/>
              <wp:positionH relativeFrom="margin">
                <wp:posOffset>0</wp:posOffset>
              </wp:positionH>
              <wp:positionV relativeFrom="page">
                <wp:align>bottom</wp:align>
              </wp:positionV>
              <wp:extent cx="2560320" cy="640080"/>
              <wp:effectExtent l="0" t="0" r="11430" b="7620"/>
              <wp:wrapNone/>
              <wp:docPr id="47949752"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63B0C" w14:textId="77777777" w:rsidR="00D106C7" w:rsidRDefault="00D106C7" w:rsidP="00BF4083">
                          <w:pPr>
                            <w:pStyle w:val="MacPacTrailer"/>
                            <w:spacing w:line="20" w:lineRule="exact"/>
                          </w:pPr>
                        </w:p>
                        <w:p w14:paraId="2E040218" w14:textId="77777777" w:rsidR="00D106C7" w:rsidRDefault="00D106C7" w:rsidP="00BF4083">
                          <w:pPr>
                            <w:pStyle w:val="MacPacTrailer"/>
                          </w:pPr>
                          <w:r>
                            <w:t>WSLEGAL\058404\00011\36511818v2</w:t>
                          </w:r>
                        </w:p>
                        <w:p w14:paraId="6AD1182D" w14:textId="77777777" w:rsidR="00D106C7" w:rsidRDefault="00D106C7" w:rsidP="00BF4083">
                          <w:pPr>
                            <w:pStyle w:val="MacPacTrailer"/>
                            <w:spacing w:line="20" w:lineRule="exact"/>
                          </w:pPr>
                        </w:p>
                        <w:p w14:paraId="72995ECC" w14:textId="77777777" w:rsidR="00D106C7" w:rsidRDefault="00D106C7" w:rsidP="00BF4083">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05B0F" id="_x0000_t202" coordsize="21600,21600" o:spt="202" path="m,l,21600r21600,l21600,xe">
              <v:stroke joinstyle="miter"/>
              <v:path gradientshapeok="t" o:connecttype="rect"/>
            </v:shapetype>
            <v:shape id="zzmpTrailer_1078_39" o:spid="_x0000_s1028" type="#_x0000_t202" style="position:absolute;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filled="f" stroked="f">
              <v:textbox inset="0,0,0,0">
                <w:txbxContent>
                  <w:p w14:paraId="14B63B0C" w14:textId="77777777" w:rsidR="00D106C7" w:rsidRDefault="00D106C7" w:rsidP="00BF4083">
                    <w:pPr>
                      <w:pStyle w:val="MacPacTrailer"/>
                      <w:spacing w:line="20" w:lineRule="exact"/>
                    </w:pPr>
                  </w:p>
                  <w:p w14:paraId="2E040218" w14:textId="77777777" w:rsidR="00D106C7" w:rsidRDefault="00D106C7" w:rsidP="00BF4083">
                    <w:pPr>
                      <w:pStyle w:val="MacPacTrailer"/>
                    </w:pPr>
                    <w:r>
                      <w:t>WSLEGAL\058404\00011\36511818v2</w:t>
                    </w:r>
                  </w:p>
                  <w:p w14:paraId="6AD1182D" w14:textId="77777777" w:rsidR="00D106C7" w:rsidRDefault="00D106C7" w:rsidP="00BF4083">
                    <w:pPr>
                      <w:pStyle w:val="MacPacTrailer"/>
                      <w:spacing w:line="20" w:lineRule="exact"/>
                    </w:pPr>
                  </w:p>
                  <w:p w14:paraId="72995ECC" w14:textId="77777777" w:rsidR="00D106C7" w:rsidRDefault="00D106C7" w:rsidP="00BF4083">
                    <w:pPr>
                      <w:pStyle w:val="MacPacTrailer"/>
                      <w:spacing w:line="20" w:lineRule="exact"/>
                    </w:pPr>
                  </w:p>
                </w:txbxContent>
              </v:textbox>
              <w10:wrap anchorx="margin"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E5E2" w14:textId="77777777" w:rsidR="00D106C7" w:rsidRDefault="00D106C7" w:rsidP="00F1670D">
    <w:pPr>
      <w:pStyle w:val="Footer"/>
      <w:ind w:left="-144"/>
    </w:pPr>
    <w:r>
      <w:rPr>
        <w:noProof/>
        <w:lang w:val="en-GB" w:eastAsia="en-GB"/>
      </w:rPr>
      <mc:AlternateContent>
        <mc:Choice Requires="wps">
          <w:drawing>
            <wp:anchor distT="0" distB="0" distL="114300" distR="114300" simplePos="0" relativeHeight="251669504" behindDoc="1" locked="0" layoutInCell="1" allowOverlap="1" wp14:anchorId="2C59F8E7" wp14:editId="12AE7BAE">
              <wp:simplePos x="0" y="0"/>
              <wp:positionH relativeFrom="margin">
                <wp:posOffset>0</wp:posOffset>
              </wp:positionH>
              <wp:positionV relativeFrom="page">
                <wp:align>bottom</wp:align>
              </wp:positionV>
              <wp:extent cx="2560320" cy="640080"/>
              <wp:effectExtent l="0" t="0" r="11430" b="7620"/>
              <wp:wrapNone/>
              <wp:docPr id="1461563625" name="zzmpTrailer_1078_3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CE6DF" w14:textId="77777777" w:rsidR="00D106C7" w:rsidRDefault="00D106C7" w:rsidP="00F1670D">
                          <w:pPr>
                            <w:pStyle w:val="MacPacTrailer"/>
                            <w:spacing w:line="20" w:lineRule="exact"/>
                          </w:pPr>
                        </w:p>
                        <w:p w14:paraId="1CE1FE4B" w14:textId="77777777" w:rsidR="00D106C7" w:rsidRDefault="00D106C7" w:rsidP="00F1670D">
                          <w:pPr>
                            <w:pStyle w:val="MacPacTrailer"/>
                          </w:pPr>
                          <w:r>
                            <w:t>WSLEGAL\058404\00011\36511818v2</w:t>
                          </w:r>
                        </w:p>
                        <w:p w14:paraId="24E543E9" w14:textId="77777777" w:rsidR="00D106C7" w:rsidRDefault="00D106C7" w:rsidP="00F1670D">
                          <w:pPr>
                            <w:pStyle w:val="MacPacTrailer"/>
                            <w:spacing w:line="20" w:lineRule="exact"/>
                          </w:pPr>
                        </w:p>
                        <w:p w14:paraId="0A6B121F" w14:textId="77777777" w:rsidR="00D106C7" w:rsidRDefault="00D106C7" w:rsidP="00F1670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9F8E7" id="_x0000_t202" coordsize="21600,21600" o:spt="202" path="m,l,21600r21600,l21600,xe">
              <v:stroke joinstyle="miter"/>
              <v:path gradientshapeok="t" o:connecttype="rect"/>
            </v:shapetype>
            <v:shape id="zzmpTrailer_1078_3B" o:spid="_x0000_s1029" type="#_x0000_t202"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filled="f" stroked="f">
              <v:textbox inset="0,0,0,0">
                <w:txbxContent>
                  <w:p w14:paraId="706CE6DF" w14:textId="77777777" w:rsidR="00D106C7" w:rsidRDefault="00D106C7" w:rsidP="00F1670D">
                    <w:pPr>
                      <w:pStyle w:val="MacPacTrailer"/>
                      <w:spacing w:line="20" w:lineRule="exact"/>
                    </w:pPr>
                  </w:p>
                  <w:p w14:paraId="1CE1FE4B" w14:textId="77777777" w:rsidR="00D106C7" w:rsidRDefault="00D106C7" w:rsidP="00F1670D">
                    <w:pPr>
                      <w:pStyle w:val="MacPacTrailer"/>
                    </w:pPr>
                    <w:r>
                      <w:t>WSLEGAL\058404\00011\36511818v2</w:t>
                    </w:r>
                  </w:p>
                  <w:p w14:paraId="24E543E9" w14:textId="77777777" w:rsidR="00D106C7" w:rsidRDefault="00D106C7" w:rsidP="00F1670D">
                    <w:pPr>
                      <w:pStyle w:val="MacPacTrailer"/>
                      <w:spacing w:line="20" w:lineRule="exact"/>
                    </w:pPr>
                  </w:p>
                  <w:p w14:paraId="0A6B121F" w14:textId="77777777" w:rsidR="00D106C7" w:rsidRDefault="00D106C7" w:rsidP="00F1670D">
                    <w:pPr>
                      <w:pStyle w:val="MacPacTrailer"/>
                      <w:spacing w:line="20" w:lineRule="exact"/>
                    </w:pP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7B59" w14:textId="503AEE80" w:rsidR="00961448" w:rsidRDefault="000B08F2" w:rsidP="004A137A">
    <w:pPr>
      <w:pStyle w:val="Footer"/>
      <w:ind w:left="-144"/>
      <w:jc w:val="center"/>
      <w:rPr>
        <w:i/>
        <w:lang w:val="fr-CA"/>
      </w:rPr>
    </w:pPr>
    <w:r w:rsidRPr="00961448">
      <w:rPr>
        <w:i/>
        <w:lang w:val="fr-CA"/>
      </w:rPr>
      <w:t>[</w:t>
    </w:r>
    <w:r w:rsidR="00961448" w:rsidRPr="00961448">
      <w:rPr>
        <w:i/>
        <w:lang w:val="fr-CA"/>
      </w:rPr>
      <w:t xml:space="preserve">Page de signature de la Convention relative aux droits des investisseurs </w:t>
    </w:r>
    <w:r w:rsidRPr="00961448">
      <w:rPr>
        <w:i/>
        <w:lang w:val="fr-CA"/>
      </w:rPr>
      <w:t>[</w:t>
    </w:r>
    <w:r w:rsidR="00961448" w:rsidRPr="00961448">
      <w:rPr>
        <w:i/>
        <w:lang w:val="fr-CA"/>
      </w:rPr>
      <w:t>modifiée et mise à jour</w:t>
    </w:r>
    <w:r w:rsidRPr="00961448">
      <w:rPr>
        <w:i/>
        <w:lang w:val="fr-CA"/>
      </w:rPr>
      <w:t>]</w:t>
    </w:r>
  </w:p>
  <w:p w14:paraId="47D08A58" w14:textId="77777777" w:rsidR="00D106C7" w:rsidRDefault="00D106C7" w:rsidP="00F1670D">
    <w:pPr>
      <w:pStyle w:val="Footer"/>
      <w:ind w:left="-144"/>
    </w:pPr>
    <w:r>
      <w:rPr>
        <w:noProof/>
        <w:lang w:val="en-GB" w:eastAsia="en-GB"/>
      </w:rPr>
      <mc:AlternateContent>
        <mc:Choice Requires="wps">
          <w:drawing>
            <wp:anchor distT="0" distB="0" distL="114300" distR="114300" simplePos="0" relativeHeight="251671552" behindDoc="1" locked="0" layoutInCell="1" allowOverlap="1" wp14:anchorId="26583699" wp14:editId="21336340">
              <wp:simplePos x="0" y="0"/>
              <wp:positionH relativeFrom="margin">
                <wp:posOffset>0</wp:posOffset>
              </wp:positionH>
              <wp:positionV relativeFrom="page">
                <wp:align>bottom</wp:align>
              </wp:positionV>
              <wp:extent cx="2560320" cy="640080"/>
              <wp:effectExtent l="0" t="0" r="11430" b="7620"/>
              <wp:wrapNone/>
              <wp:docPr id="1452430007" name="zzmpTrailer_1078_4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8B3CB" w14:textId="77777777" w:rsidR="00D106C7" w:rsidRDefault="00D106C7" w:rsidP="00F1670D">
                          <w:pPr>
                            <w:pStyle w:val="MacPacTrailer"/>
                            <w:spacing w:line="20" w:lineRule="exact"/>
                          </w:pPr>
                        </w:p>
                        <w:p w14:paraId="7BF63AD3" w14:textId="77777777" w:rsidR="00D106C7" w:rsidRDefault="00D106C7" w:rsidP="00F1670D">
                          <w:pPr>
                            <w:pStyle w:val="MacPacTrailer"/>
                          </w:pPr>
                          <w:r>
                            <w:t>WSLEGAL\058404\00011\36511818v2</w:t>
                          </w:r>
                        </w:p>
                        <w:p w14:paraId="303BA6D1" w14:textId="77777777" w:rsidR="00D106C7" w:rsidRDefault="00D106C7" w:rsidP="00F1670D">
                          <w:pPr>
                            <w:pStyle w:val="MacPacTrailer"/>
                            <w:spacing w:line="20" w:lineRule="exact"/>
                          </w:pPr>
                        </w:p>
                        <w:p w14:paraId="7B7B64A2" w14:textId="77777777" w:rsidR="00D106C7" w:rsidRDefault="00D106C7" w:rsidP="00F1670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83699" id="_x0000_t202" coordsize="21600,21600" o:spt="202" path="m,l,21600r21600,l21600,xe">
              <v:stroke joinstyle="miter"/>
              <v:path gradientshapeok="t" o:connecttype="rect"/>
            </v:shapetype>
            <v:shape id="zzmpTrailer_1078_4B" o:spid="_x0000_s1030" type="#_x0000_t202"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filled="f" stroked="f">
              <v:textbox inset="0,0,0,0">
                <w:txbxContent>
                  <w:p w14:paraId="0E58B3CB" w14:textId="77777777" w:rsidR="00D106C7" w:rsidRDefault="00D106C7" w:rsidP="00F1670D">
                    <w:pPr>
                      <w:pStyle w:val="MacPacTrailer"/>
                      <w:spacing w:line="20" w:lineRule="exact"/>
                    </w:pPr>
                  </w:p>
                  <w:p w14:paraId="7BF63AD3" w14:textId="77777777" w:rsidR="00D106C7" w:rsidRDefault="00D106C7" w:rsidP="00F1670D">
                    <w:pPr>
                      <w:pStyle w:val="MacPacTrailer"/>
                    </w:pPr>
                    <w:r>
                      <w:t>WSLEGAL\058404\00011\36511818v2</w:t>
                    </w:r>
                  </w:p>
                  <w:p w14:paraId="303BA6D1" w14:textId="77777777" w:rsidR="00D106C7" w:rsidRDefault="00D106C7" w:rsidP="00F1670D">
                    <w:pPr>
                      <w:pStyle w:val="MacPacTrailer"/>
                      <w:spacing w:line="20" w:lineRule="exact"/>
                    </w:pPr>
                  </w:p>
                  <w:p w14:paraId="7B7B64A2" w14:textId="77777777" w:rsidR="00D106C7" w:rsidRDefault="00D106C7" w:rsidP="00F1670D">
                    <w:pPr>
                      <w:pStyle w:val="MacPacTrailer"/>
                      <w:spacing w:line="20" w:lineRule="exact"/>
                    </w:pPr>
                  </w:p>
                </w:txbxContent>
              </v:textbox>
              <w10:wrap anchorx="margin"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1456" w14:textId="77777777" w:rsidR="00D106C7" w:rsidRDefault="00D106C7" w:rsidP="00F1670D">
    <w:pPr>
      <w:pStyle w:val="Footer"/>
      <w:ind w:left="-144"/>
    </w:pPr>
    <w:r>
      <w:rPr>
        <w:noProof/>
        <w:lang w:val="en-GB" w:eastAsia="en-GB"/>
      </w:rPr>
      <mc:AlternateContent>
        <mc:Choice Requires="wps">
          <w:drawing>
            <wp:anchor distT="0" distB="0" distL="114300" distR="114300" simplePos="0" relativeHeight="251673600" behindDoc="1" locked="0" layoutInCell="1" allowOverlap="1" wp14:anchorId="5796129D" wp14:editId="3354F61D">
              <wp:simplePos x="0" y="0"/>
              <wp:positionH relativeFrom="margin">
                <wp:posOffset>0</wp:posOffset>
              </wp:positionH>
              <wp:positionV relativeFrom="page">
                <wp:align>bottom</wp:align>
              </wp:positionV>
              <wp:extent cx="2560320" cy="640080"/>
              <wp:effectExtent l="0" t="0" r="11430" b="7620"/>
              <wp:wrapNone/>
              <wp:docPr id="978672586" name="zzmpTrailer_1078_5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79E25" w14:textId="77777777" w:rsidR="00D106C7" w:rsidRDefault="00D106C7" w:rsidP="00F1670D">
                          <w:pPr>
                            <w:pStyle w:val="MacPacTrailer"/>
                            <w:spacing w:line="20" w:lineRule="exact"/>
                          </w:pPr>
                        </w:p>
                        <w:p w14:paraId="27FAB3C1" w14:textId="77777777" w:rsidR="00D106C7" w:rsidRDefault="00D106C7" w:rsidP="00F1670D">
                          <w:pPr>
                            <w:pStyle w:val="MacPacTrailer"/>
                          </w:pPr>
                          <w:r>
                            <w:t>WSLEGAL\058404\00011\36511818v2</w:t>
                          </w:r>
                        </w:p>
                        <w:p w14:paraId="57CEC36F" w14:textId="77777777" w:rsidR="00D106C7" w:rsidRDefault="00D106C7" w:rsidP="00F1670D">
                          <w:pPr>
                            <w:pStyle w:val="MacPacTrailer"/>
                            <w:spacing w:line="20" w:lineRule="exact"/>
                          </w:pPr>
                        </w:p>
                        <w:p w14:paraId="322C6EBD" w14:textId="77777777" w:rsidR="00D106C7" w:rsidRDefault="00D106C7" w:rsidP="00F1670D">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6129D" id="_x0000_t202" coordsize="21600,21600" o:spt="202" path="m,l,21600r21600,l21600,xe">
              <v:stroke joinstyle="miter"/>
              <v:path gradientshapeok="t" o:connecttype="rect"/>
            </v:shapetype>
            <v:shape id="zzmpTrailer_1078_5B" o:spid="_x0000_s1031" type="#_x0000_t202" style="position:absolute;left:0;text-align:left;margin-left:0;margin-top:0;width:201.6pt;height:50.4pt;z-index:-25164288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DM0nxH&#10;2gEAAJgDAAAOAAAAAAAAAAAAAAAAAC4CAABkcnMvZTJvRG9jLnhtbFBLAQItABQABgAIAAAAIQCJ&#10;EBaJ2wAAAAUBAAAPAAAAAAAAAAAAAAAAADQEAABkcnMvZG93bnJldi54bWxQSwUGAAAAAAQABADz&#10;AAAAPAUAAAAA&#10;" filled="f" stroked="f">
              <v:textbox inset="0,0,0,0">
                <w:txbxContent>
                  <w:p w14:paraId="20779E25" w14:textId="77777777" w:rsidR="00D106C7" w:rsidRDefault="00D106C7" w:rsidP="00F1670D">
                    <w:pPr>
                      <w:pStyle w:val="MacPacTrailer"/>
                      <w:spacing w:line="20" w:lineRule="exact"/>
                    </w:pPr>
                  </w:p>
                  <w:p w14:paraId="27FAB3C1" w14:textId="77777777" w:rsidR="00D106C7" w:rsidRDefault="00D106C7" w:rsidP="00F1670D">
                    <w:pPr>
                      <w:pStyle w:val="MacPacTrailer"/>
                    </w:pPr>
                    <w:r>
                      <w:t>WSLEGAL\058404\00011\36511818v2</w:t>
                    </w:r>
                  </w:p>
                  <w:p w14:paraId="57CEC36F" w14:textId="77777777" w:rsidR="00D106C7" w:rsidRDefault="00D106C7" w:rsidP="00F1670D">
                    <w:pPr>
                      <w:pStyle w:val="MacPacTrailer"/>
                      <w:spacing w:line="20" w:lineRule="exact"/>
                    </w:pPr>
                  </w:p>
                  <w:p w14:paraId="322C6EBD" w14:textId="77777777" w:rsidR="00D106C7" w:rsidRDefault="00D106C7" w:rsidP="00F1670D">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04D2" w14:textId="77777777" w:rsidR="00D1217C" w:rsidRDefault="00D1217C">
      <w:r>
        <w:separator/>
      </w:r>
    </w:p>
  </w:footnote>
  <w:footnote w:type="continuationSeparator" w:id="0">
    <w:p w14:paraId="0A0FD4D7" w14:textId="77777777" w:rsidR="00D1217C" w:rsidRDefault="00D1217C">
      <w:r>
        <w:continuationSeparator/>
      </w:r>
    </w:p>
  </w:footnote>
  <w:footnote w:id="1">
    <w:p w14:paraId="46F71980" w14:textId="77777777" w:rsidR="00406376" w:rsidRPr="00E80C1E" w:rsidRDefault="00406376" w:rsidP="00406376">
      <w:pPr>
        <w:pStyle w:val="FootnoteText"/>
        <w:rPr>
          <w:lang w:val="fr-CA"/>
        </w:rPr>
      </w:pPr>
      <w:r w:rsidRPr="00986BEB">
        <w:rPr>
          <w:rStyle w:val="FootnoteReference"/>
          <w:lang w:val="fr-CA"/>
        </w:rPr>
        <w:footnoteRef/>
      </w:r>
      <w:r w:rsidRPr="00E80C1E">
        <w:rPr>
          <w:lang w:val="fr-CA"/>
        </w:rPr>
        <w:t xml:space="preserve"> La première variante du préambule est </w:t>
      </w:r>
      <w:r>
        <w:rPr>
          <w:lang w:val="fr-CA"/>
        </w:rPr>
        <w:t>appropriée</w:t>
      </w:r>
      <w:r w:rsidRPr="00E80C1E">
        <w:rPr>
          <w:lang w:val="fr-CA"/>
        </w:rPr>
        <w:t xml:space="preserve"> lorsque vous rédigez des documents juridiques dans le cadre de la vente par la Société de sa première catégorie d’actions privilégiées (</w:t>
      </w:r>
      <w:r>
        <w:rPr>
          <w:lang w:val="fr-CA"/>
        </w:rPr>
        <w:t xml:space="preserve">la </w:t>
      </w:r>
      <w:r w:rsidRPr="00E80C1E">
        <w:rPr>
          <w:lang w:val="fr-CA"/>
        </w:rPr>
        <w:t>catégorie </w:t>
      </w:r>
      <w:r w:rsidRPr="00986BEB">
        <w:rPr>
          <w:lang w:val="fr-CA"/>
        </w:rPr>
        <w:t>A</w:t>
      </w:r>
      <w:r w:rsidRPr="00E80C1E">
        <w:rPr>
          <w:lang w:val="fr-CA"/>
        </w:rPr>
        <w:t xml:space="preserve">). </w:t>
      </w:r>
      <w:r>
        <w:rPr>
          <w:lang w:val="fr-CA"/>
        </w:rPr>
        <w:t xml:space="preserve">Au besoin, on pourra ajouter </w:t>
      </w:r>
      <w:r w:rsidRPr="009D4254">
        <w:rPr>
          <w:lang w:val="fr-CA"/>
        </w:rPr>
        <w:t>une mention des Porteurs clés dans le préambule.</w:t>
      </w:r>
    </w:p>
  </w:footnote>
  <w:footnote w:id="2">
    <w:p w14:paraId="1FF76DE3" w14:textId="1E249118" w:rsidR="00406376" w:rsidRPr="00E80C1E" w:rsidRDefault="00406376" w:rsidP="00406376">
      <w:pPr>
        <w:pStyle w:val="FootnoteText"/>
        <w:rPr>
          <w:lang w:val="fr-CA"/>
        </w:rPr>
      </w:pPr>
      <w:r w:rsidRPr="00986BEB">
        <w:rPr>
          <w:rStyle w:val="FootnoteReference"/>
          <w:lang w:val="fr-CA"/>
        </w:rPr>
        <w:footnoteRef/>
      </w:r>
      <w:r w:rsidRPr="00E80C1E">
        <w:rPr>
          <w:lang w:val="fr-CA"/>
        </w:rPr>
        <w:t xml:space="preserve"> La deuxième variant</w:t>
      </w:r>
      <w:r>
        <w:rPr>
          <w:lang w:val="fr-CA"/>
        </w:rPr>
        <w:t>e</w:t>
      </w:r>
      <w:r w:rsidRPr="00E80C1E">
        <w:rPr>
          <w:lang w:val="fr-CA"/>
        </w:rPr>
        <w:t xml:space="preserve"> du préambule </w:t>
      </w:r>
      <w:r>
        <w:rPr>
          <w:lang w:val="fr-CA"/>
        </w:rPr>
        <w:t>repose sur l’hypothèse</w:t>
      </w:r>
      <w:r w:rsidRPr="00E80C1E">
        <w:rPr>
          <w:lang w:val="fr-CA"/>
        </w:rPr>
        <w:t xml:space="preserve"> qu’une Convention relative aux droits des investisseurs préexistant</w:t>
      </w:r>
      <w:r w:rsidR="003642B7">
        <w:rPr>
          <w:lang w:val="fr-CA"/>
        </w:rPr>
        <w:t>e</w:t>
      </w:r>
      <w:r w:rsidRPr="00E80C1E">
        <w:rPr>
          <w:lang w:val="fr-CA"/>
        </w:rPr>
        <w:t xml:space="preserve"> est remplacée par une nouvelle version et qu’il existe deux catégories différentes d’actions privilégiées </w:t>
      </w:r>
      <w:r w:rsidRPr="009D4254">
        <w:rPr>
          <w:lang w:val="fr-CA"/>
        </w:rPr>
        <w:t>(</w:t>
      </w:r>
      <w:r>
        <w:rPr>
          <w:lang w:val="fr-CA"/>
        </w:rPr>
        <w:t xml:space="preserve">les </w:t>
      </w:r>
      <w:r w:rsidRPr="009D4254">
        <w:rPr>
          <w:lang w:val="fr-CA"/>
        </w:rPr>
        <w:t xml:space="preserve">catégories A et </w:t>
      </w:r>
      <w:r w:rsidRPr="00986BEB">
        <w:rPr>
          <w:lang w:val="fr-CA"/>
        </w:rPr>
        <w:t>B</w:t>
      </w:r>
      <w:r w:rsidRPr="009D4254">
        <w:rPr>
          <w:lang w:val="fr-CA"/>
        </w:rPr>
        <w:t>).</w:t>
      </w:r>
      <w:r w:rsidRPr="00E80C1E">
        <w:rPr>
          <w:lang w:val="fr-CA"/>
        </w:rPr>
        <w:t xml:space="preserve"> </w:t>
      </w:r>
      <w:r>
        <w:rPr>
          <w:lang w:val="fr-CA"/>
        </w:rPr>
        <w:t xml:space="preserve">Son libellé devra être modifié </w:t>
      </w:r>
      <w:r w:rsidRPr="00E80C1E">
        <w:rPr>
          <w:lang w:val="fr-CA"/>
        </w:rPr>
        <w:t>en fonction de</w:t>
      </w:r>
      <w:r>
        <w:rPr>
          <w:lang w:val="fr-CA"/>
        </w:rPr>
        <w:t>s</w:t>
      </w:r>
      <w:r w:rsidRPr="00E80C1E">
        <w:rPr>
          <w:lang w:val="fr-CA"/>
        </w:rPr>
        <w:t xml:space="preserve"> catégorie</w:t>
      </w:r>
      <w:r>
        <w:rPr>
          <w:lang w:val="fr-CA"/>
        </w:rPr>
        <w:t>s</w:t>
      </w:r>
      <w:r w:rsidRPr="00E80C1E">
        <w:rPr>
          <w:lang w:val="fr-CA"/>
        </w:rPr>
        <w:t xml:space="preserve"> réelle</w:t>
      </w:r>
      <w:r>
        <w:rPr>
          <w:lang w:val="fr-CA"/>
        </w:rPr>
        <w:t>s</w:t>
      </w:r>
      <w:r w:rsidRPr="00E80C1E">
        <w:rPr>
          <w:lang w:val="fr-CA"/>
        </w:rPr>
        <w:t xml:space="preserve"> d</w:t>
      </w:r>
      <w:r>
        <w:rPr>
          <w:lang w:val="fr-CA"/>
        </w:rPr>
        <w:t>’</w:t>
      </w:r>
      <w:r w:rsidRPr="00E80C1E">
        <w:rPr>
          <w:lang w:val="fr-CA"/>
        </w:rPr>
        <w:t xml:space="preserve">actions privilégiées en circulation et des droits </w:t>
      </w:r>
      <w:r>
        <w:rPr>
          <w:lang w:val="fr-CA"/>
        </w:rPr>
        <w:t xml:space="preserve">qui y sont </w:t>
      </w:r>
      <w:r w:rsidRPr="00E80C1E">
        <w:rPr>
          <w:lang w:val="fr-CA"/>
        </w:rPr>
        <w:t>rattachés. La présente Convention prévoit la modification et la mise à jour de la Convention antér</w:t>
      </w:r>
      <w:r>
        <w:rPr>
          <w:lang w:val="fr-CA"/>
        </w:rPr>
        <w:t>i</w:t>
      </w:r>
      <w:r w:rsidRPr="00E80C1E">
        <w:rPr>
          <w:lang w:val="fr-CA"/>
        </w:rPr>
        <w:t>eure de sorte que les parties à la convention existante deviennent partie</w:t>
      </w:r>
      <w:r w:rsidR="00E115F2">
        <w:rPr>
          <w:lang w:val="fr-CA"/>
        </w:rPr>
        <w:t xml:space="preserve"> </w:t>
      </w:r>
      <w:r w:rsidRPr="00E80C1E">
        <w:rPr>
          <w:lang w:val="fr-CA"/>
        </w:rPr>
        <w:t>à la présente Convention, qu</w:t>
      </w:r>
      <w:r>
        <w:rPr>
          <w:lang w:val="fr-CA"/>
        </w:rPr>
        <w:t>’</w:t>
      </w:r>
      <w:r w:rsidRPr="00E80C1E">
        <w:rPr>
          <w:lang w:val="fr-CA"/>
        </w:rPr>
        <w:t xml:space="preserve">elles signent ou non la présente Convention; il est </w:t>
      </w:r>
      <w:r>
        <w:rPr>
          <w:lang w:val="fr-CA"/>
        </w:rPr>
        <w:t xml:space="preserve">possible que </w:t>
      </w:r>
      <w:r w:rsidRPr="00E80C1E">
        <w:rPr>
          <w:lang w:val="fr-CA"/>
        </w:rPr>
        <w:t>la convention existante soit résiliée, auquel cas tous les investisseurs existants seraient tenus de signer la présente Convention. Voir également le paragraphe </w:t>
      </w:r>
      <w:r w:rsidRPr="00986BEB">
        <w:rPr>
          <w:lang w:val="fr-CA"/>
        </w:rPr>
        <w:fldChar w:fldCharType="begin"/>
      </w:r>
      <w:r w:rsidRPr="00986BEB">
        <w:rPr>
          <w:lang w:val="fr-CA"/>
        </w:rPr>
        <w:instrText xml:space="preserve">  REF _Ref448380668 \w \h \* MERGEFORMAT </w:instrText>
      </w:r>
      <w:r w:rsidRPr="00986BEB">
        <w:rPr>
          <w:lang w:val="fr-CA"/>
        </w:rPr>
      </w:r>
      <w:r w:rsidRPr="00986BEB">
        <w:rPr>
          <w:lang w:val="fr-CA"/>
        </w:rPr>
        <w:fldChar w:fldCharType="separate"/>
      </w:r>
      <w:r w:rsidR="00AE1D96" w:rsidRPr="00AE1D96">
        <w:rPr>
          <w:color w:val="000000"/>
          <w:lang w:val="fr-CA"/>
        </w:rPr>
        <w:t>6.10</w:t>
      </w:r>
      <w:r w:rsidRPr="00986BEB">
        <w:rPr>
          <w:lang w:val="fr-CA"/>
        </w:rPr>
        <w:fldChar w:fldCharType="end"/>
      </w:r>
      <w:r w:rsidRPr="009D4254">
        <w:rPr>
          <w:lang w:val="fr-CA"/>
        </w:rPr>
        <w:t>.</w:t>
      </w:r>
      <w:r w:rsidRPr="00E80C1E">
        <w:rPr>
          <w:lang w:val="fr-CA"/>
        </w:rPr>
        <w:t xml:space="preserve"> </w:t>
      </w:r>
      <w:r>
        <w:rPr>
          <w:lang w:val="fr-CA"/>
        </w:rPr>
        <w:t xml:space="preserve">Au besoin, on pourra ajouter </w:t>
      </w:r>
      <w:r w:rsidRPr="009D4254">
        <w:rPr>
          <w:lang w:val="fr-CA"/>
        </w:rPr>
        <w:t>une mention des Porteurs clés dans le préambule.</w:t>
      </w:r>
    </w:p>
  </w:footnote>
  <w:footnote w:id="3">
    <w:p w14:paraId="1322BD5D" w14:textId="77777777" w:rsidR="00D423E9" w:rsidRPr="00E80C1E" w:rsidRDefault="00D423E9" w:rsidP="00D423E9">
      <w:pPr>
        <w:pStyle w:val="FootnoteText"/>
        <w:rPr>
          <w:lang w:val="fr-CA"/>
        </w:rPr>
      </w:pPr>
      <w:r w:rsidRPr="00986BEB">
        <w:rPr>
          <w:rStyle w:val="FootnoteReference"/>
          <w:lang w:val="fr-CA"/>
        </w:rPr>
        <w:footnoteRef/>
      </w:r>
      <w:r w:rsidRPr="00E80C1E">
        <w:rPr>
          <w:szCs w:val="16"/>
          <w:lang w:val="fr-CA"/>
        </w:rPr>
        <w:t xml:space="preserve"> Notez que cette définition n’est nécessaire que s’il existe plusieurs séries et/ou catégories d’actions privilégiées.</w:t>
      </w:r>
    </w:p>
  </w:footnote>
  <w:footnote w:id="4">
    <w:p w14:paraId="47694872" w14:textId="77777777" w:rsidR="00DF5CF9" w:rsidRPr="00E80C1E" w:rsidRDefault="00DF5CF9" w:rsidP="00C364FE">
      <w:pPr>
        <w:pStyle w:val="FootnoteText"/>
        <w:rPr>
          <w:lang w:val="fr-CA"/>
        </w:rPr>
      </w:pPr>
      <w:r w:rsidRPr="00986BEB">
        <w:rPr>
          <w:rStyle w:val="FootnoteReference"/>
          <w:lang w:val="fr-CA"/>
        </w:rPr>
        <w:footnoteRef/>
      </w:r>
      <w:r w:rsidRPr="00E80C1E">
        <w:rPr>
          <w:lang w:val="fr-CA"/>
        </w:rPr>
        <w:t xml:space="preserve"> Si les Statuts ne confèrent pas aux porteurs d’Actions privilégiées de catégorie A le droit d’élire des administrateurs, </w:t>
      </w:r>
      <w:r>
        <w:rPr>
          <w:lang w:val="fr-CA"/>
        </w:rPr>
        <w:t xml:space="preserve">on fera </w:t>
      </w:r>
      <w:r w:rsidRPr="00E80C1E">
        <w:rPr>
          <w:lang w:val="fr-CA"/>
        </w:rPr>
        <w:t xml:space="preserve">plutôt </w:t>
      </w:r>
      <w:r>
        <w:rPr>
          <w:lang w:val="fr-CA"/>
        </w:rPr>
        <w:t>mention des</w:t>
      </w:r>
      <w:r w:rsidRPr="00E80C1E">
        <w:rPr>
          <w:lang w:val="fr-CA"/>
        </w:rPr>
        <w:t xml:space="preserve"> personnes désignées par l’Investisseur dans la Convention de vote.</w:t>
      </w:r>
    </w:p>
  </w:footnote>
  <w:footnote w:id="5">
    <w:p w14:paraId="633EDBA9" w14:textId="356F34CD" w:rsidR="00D423E9" w:rsidRPr="00E80C1E" w:rsidRDefault="00D423E9" w:rsidP="00D423E9">
      <w:pPr>
        <w:pStyle w:val="FootnoteText"/>
        <w:rPr>
          <w:lang w:val="fr-CA"/>
        </w:rPr>
      </w:pPr>
      <w:r w:rsidRPr="00983B8B">
        <w:rPr>
          <w:rStyle w:val="FootnoteReference"/>
          <w:lang w:val="fr-CA"/>
        </w:rPr>
        <w:footnoteRef/>
      </w:r>
      <w:r w:rsidRPr="00983B8B">
        <w:rPr>
          <w:lang w:val="fr-CA"/>
        </w:rPr>
        <w:t xml:space="preserve"> Dans le présent projet, cette définition ne vise qu’à limiter l’attribution de droits à l’égard des émissions d’actions futures et n’a pas d’incidence sur les restrictions au transfert ou les droits à l’information. Voir également la note </w:t>
      </w:r>
      <w:r w:rsidRPr="00983B8B">
        <w:rPr>
          <w:lang w:val="fr-CA"/>
        </w:rPr>
        <w:fldChar w:fldCharType="begin"/>
      </w:r>
      <w:r w:rsidRPr="00983B8B">
        <w:rPr>
          <w:lang w:val="fr-CA"/>
        </w:rPr>
        <w:instrText xml:space="preserve"> NOTEREF _Ref448380708 \h  \* MERGEFORMAT </w:instrText>
      </w:r>
      <w:r w:rsidRPr="00983B8B">
        <w:rPr>
          <w:lang w:val="fr-CA"/>
        </w:rPr>
      </w:r>
      <w:r w:rsidRPr="00983B8B">
        <w:rPr>
          <w:lang w:val="fr-CA"/>
        </w:rPr>
        <w:fldChar w:fldCharType="separate"/>
      </w:r>
      <w:r w:rsidR="00AE1D96">
        <w:rPr>
          <w:lang w:val="fr-CA"/>
        </w:rPr>
        <w:t>39</w:t>
      </w:r>
      <w:r w:rsidRPr="00983B8B">
        <w:rPr>
          <w:lang w:val="fr-CA"/>
        </w:rPr>
        <w:fldChar w:fldCharType="end"/>
      </w:r>
      <w:r w:rsidRPr="00983B8B">
        <w:rPr>
          <w:lang w:val="fr-CA"/>
        </w:rPr>
        <w:t>.</w:t>
      </w:r>
    </w:p>
  </w:footnote>
  <w:footnote w:id="6">
    <w:p w14:paraId="2767C70E" w14:textId="77777777" w:rsidR="00D423E9" w:rsidRPr="00E80C1E" w:rsidRDefault="00D423E9" w:rsidP="00D423E9">
      <w:pPr>
        <w:pStyle w:val="FootnoteText"/>
        <w:rPr>
          <w:lang w:val="fr-CA"/>
        </w:rPr>
      </w:pPr>
      <w:r w:rsidRPr="00986BEB">
        <w:rPr>
          <w:rStyle w:val="FootnoteReference"/>
          <w:lang w:val="fr-CA"/>
        </w:rPr>
        <w:footnoteRef/>
      </w:r>
      <w:r w:rsidRPr="003A0374">
        <w:rPr>
          <w:szCs w:val="16"/>
          <w:lang w:val="fr-CA"/>
        </w:rPr>
        <w:t xml:space="preserve"> </w:t>
      </w:r>
      <w:r w:rsidRPr="00EB4B58">
        <w:rPr>
          <w:szCs w:val="16"/>
          <w:lang w:val="fr-CA"/>
        </w:rPr>
        <w:t>Dans le cadre d’une ronde de financement par actions de catégorie A d’une société de haute technologie en démarrage, il est probable que seuls les employés clés, outre les dirigeants, le cas échéant, soient ceux qui sont responsables du développement des principaux actifs de propriété intellectuelle de la Société. Il peut être plus simple pour ces sociétés en démarrage d’établir la liste des noms de ces Employés clés. Dans des rondes ultérieures, il peut être pertinent d’ajouter d’autres employés, comme des représentants commerciaux ou des consultants importants, et de définir les Employés clés par fonction (p. ex. directeur de division).</w:t>
      </w:r>
    </w:p>
  </w:footnote>
  <w:footnote w:id="7">
    <w:p w14:paraId="2D0D1D40" w14:textId="77777777" w:rsidR="00DF5CF9" w:rsidRPr="00E80C1E" w:rsidRDefault="00DF5CF9">
      <w:pPr>
        <w:pStyle w:val="FootnoteText"/>
        <w:rPr>
          <w:lang w:val="fr-CA"/>
        </w:rPr>
      </w:pPr>
      <w:r w:rsidRPr="00986BEB">
        <w:rPr>
          <w:rStyle w:val="FootnoteReference"/>
          <w:lang w:val="fr-CA"/>
        </w:rPr>
        <w:footnoteRef/>
      </w:r>
      <w:r w:rsidRPr="00E80C1E">
        <w:rPr>
          <w:lang w:val="fr-CA"/>
        </w:rPr>
        <w:t xml:space="preserve"> Notez que cette définition n’inclut pas la création d’un marché public pour la négociation des actions de la Société par </w:t>
      </w:r>
      <w:r>
        <w:rPr>
          <w:lang w:val="fr-CA"/>
        </w:rPr>
        <w:t>voie d’</w:t>
      </w:r>
      <w:r w:rsidRPr="00E80C1E">
        <w:rPr>
          <w:lang w:val="fr-CA"/>
        </w:rPr>
        <w:t>inscription directe.</w:t>
      </w:r>
    </w:p>
  </w:footnote>
  <w:footnote w:id="8">
    <w:p w14:paraId="33FC8E04" w14:textId="77777777" w:rsidR="00D423E9" w:rsidRPr="00E80C1E" w:rsidRDefault="00D423E9" w:rsidP="00D423E9">
      <w:pPr>
        <w:pStyle w:val="FootnoteText"/>
        <w:rPr>
          <w:lang w:val="fr-CA"/>
        </w:rPr>
      </w:pPr>
      <w:r w:rsidRPr="00986BEB">
        <w:rPr>
          <w:rStyle w:val="FootnoteReference"/>
          <w:lang w:val="fr-CA"/>
        </w:rPr>
        <w:footnoteRef/>
      </w:r>
      <w:r w:rsidRPr="00E80C1E">
        <w:rPr>
          <w:szCs w:val="16"/>
          <w:lang w:val="fr-CA"/>
        </w:rPr>
        <w:t xml:space="preserve"> Si les Statuts de la Société contiennent une </w:t>
      </w:r>
      <w:r>
        <w:rPr>
          <w:szCs w:val="16"/>
          <w:lang w:val="fr-CA"/>
        </w:rPr>
        <w:t xml:space="preserve">disposition </w:t>
      </w:r>
      <w:r w:rsidRPr="00E80C1E">
        <w:rPr>
          <w:szCs w:val="16"/>
          <w:lang w:val="fr-CA"/>
        </w:rPr>
        <w:t>de type « payer pour jouer » (</w:t>
      </w:r>
      <w:r w:rsidRPr="00E80C1E">
        <w:rPr>
          <w:i/>
          <w:iCs/>
          <w:szCs w:val="16"/>
          <w:lang w:val="fr-CA"/>
        </w:rPr>
        <w:t>pay-to-play</w:t>
      </w:r>
      <w:r w:rsidRPr="00E80C1E">
        <w:rPr>
          <w:szCs w:val="16"/>
          <w:lang w:val="fr-CA"/>
        </w:rPr>
        <w:t xml:space="preserve">), </w:t>
      </w:r>
      <w:r>
        <w:rPr>
          <w:szCs w:val="16"/>
          <w:lang w:val="fr-CA"/>
        </w:rPr>
        <w:t xml:space="preserve">il y aurait lieu de se demander </w:t>
      </w:r>
      <w:r w:rsidRPr="00E80C1E">
        <w:rPr>
          <w:szCs w:val="16"/>
          <w:lang w:val="fr-CA"/>
        </w:rPr>
        <w:t xml:space="preserve">si les actions émises dans le cadre d’une « conversion obligatoire spéciale » aux termes de celle-ci devraient perdre leur statut de Titres </w:t>
      </w:r>
      <w:r>
        <w:rPr>
          <w:szCs w:val="16"/>
          <w:lang w:val="fr-CA"/>
        </w:rPr>
        <w:t>à inscrire</w:t>
      </w:r>
      <w:r w:rsidRPr="00E80C1E">
        <w:rPr>
          <w:szCs w:val="16"/>
          <w:lang w:val="fr-CA"/>
        </w:rPr>
        <w:t xml:space="preserve">. Voir </w:t>
      </w:r>
      <w:bookmarkStart w:id="59" w:name="DocXTextRef32"/>
      <w:r>
        <w:rPr>
          <w:szCs w:val="16"/>
          <w:lang w:val="fr-CA"/>
        </w:rPr>
        <w:t>le paragraphe</w:t>
      </w:r>
      <w:r w:rsidRPr="00E80C1E">
        <w:rPr>
          <w:szCs w:val="16"/>
          <w:lang w:val="fr-CA"/>
        </w:rPr>
        <w:t> </w:t>
      </w:r>
      <w:r w:rsidRPr="00986BEB">
        <w:rPr>
          <w:szCs w:val="16"/>
          <w:lang w:val="fr-CA"/>
        </w:rPr>
        <w:t>5</w:t>
      </w:r>
      <w:r w:rsidRPr="00E80C1E">
        <w:rPr>
          <w:szCs w:val="16"/>
          <w:lang w:val="fr-CA"/>
        </w:rPr>
        <w:t>A</w:t>
      </w:r>
      <w:bookmarkEnd w:id="59"/>
      <w:r w:rsidRPr="00E80C1E">
        <w:rPr>
          <w:szCs w:val="16"/>
          <w:lang w:val="fr-CA"/>
        </w:rPr>
        <w:t xml:space="preserve"> de la partie</w:t>
      </w:r>
      <w:bookmarkStart w:id="60" w:name="DocXTextRef33"/>
      <w:r w:rsidRPr="00E80C1E">
        <w:rPr>
          <w:szCs w:val="16"/>
          <w:lang w:val="fr-CA"/>
        </w:rPr>
        <w:t> C</w:t>
      </w:r>
      <w:bookmarkEnd w:id="60"/>
      <w:r w:rsidRPr="00E80C1E">
        <w:rPr>
          <w:szCs w:val="16"/>
          <w:lang w:val="fr-CA"/>
        </w:rPr>
        <w:t xml:space="preserve"> d</w:t>
      </w:r>
      <w:r>
        <w:rPr>
          <w:szCs w:val="16"/>
          <w:lang w:val="fr-CA"/>
        </w:rPr>
        <w:t xml:space="preserve">e l’article quatre </w:t>
      </w:r>
      <w:r w:rsidRPr="00E80C1E">
        <w:rPr>
          <w:szCs w:val="16"/>
          <w:lang w:val="fr-CA"/>
        </w:rPr>
        <w:t xml:space="preserve">du </w:t>
      </w:r>
      <w:r w:rsidRPr="007B53F2">
        <w:rPr>
          <w:szCs w:val="16"/>
          <w:lang w:val="fr-CA"/>
        </w:rPr>
        <w:t>Modèle de clauses modificatrices</w:t>
      </w:r>
      <w:r w:rsidRPr="00E80C1E">
        <w:rPr>
          <w:szCs w:val="16"/>
          <w:lang w:val="fr-CA"/>
        </w:rPr>
        <w:t>.</w:t>
      </w:r>
    </w:p>
  </w:footnote>
  <w:footnote w:id="9">
    <w:p w14:paraId="7AE0F97B" w14:textId="77777777" w:rsidR="00D423E9" w:rsidRPr="00E80C1E" w:rsidRDefault="00D423E9" w:rsidP="00D423E9">
      <w:pPr>
        <w:pStyle w:val="FootnoteText"/>
        <w:rPr>
          <w:lang w:val="fr-CA"/>
        </w:rPr>
      </w:pPr>
      <w:r w:rsidRPr="00986BEB">
        <w:rPr>
          <w:rStyle w:val="FootnoteReference"/>
          <w:lang w:val="fr-CA"/>
        </w:rPr>
        <w:footnoteRef/>
      </w:r>
      <w:r w:rsidRPr="00E80C1E">
        <w:rPr>
          <w:szCs w:val="16"/>
          <w:lang w:val="fr-CA"/>
        </w:rPr>
        <w:t xml:space="preserve"> </w:t>
      </w:r>
      <w:r w:rsidRPr="009D4254">
        <w:rPr>
          <w:szCs w:val="16"/>
          <w:lang w:val="fr-CA"/>
        </w:rPr>
        <w:t>En règle générale, les Porteurs clés d’actions ordinaires n’obtiennent pas de droits d’inscription.</w:t>
      </w:r>
      <w:r w:rsidRPr="00E80C1E">
        <w:rPr>
          <w:szCs w:val="16"/>
          <w:lang w:val="fr-CA"/>
        </w:rPr>
        <w:t xml:space="preserve"> Dans certains cas, il peut être opportun d’accorder aux Porteurs clés (p. ex. les fondateurs ou les investisseurs providentiels importants</w:t>
      </w:r>
      <w:r>
        <w:rPr>
          <w:szCs w:val="16"/>
          <w:lang w:val="fr-CA"/>
        </w:rPr>
        <w:t xml:space="preserve"> </w:t>
      </w:r>
      <w:r w:rsidRPr="003A0374">
        <w:rPr>
          <w:szCs w:val="16"/>
          <w:lang w:val="fr-CA"/>
        </w:rPr>
        <w:t>des premières rondes</w:t>
      </w:r>
      <w:r w:rsidRPr="00E80C1E">
        <w:rPr>
          <w:szCs w:val="16"/>
          <w:lang w:val="fr-CA"/>
        </w:rPr>
        <w:t>) des droits d’entraînement et/ou des droits d’inscription</w:t>
      </w:r>
      <w:r>
        <w:rPr>
          <w:szCs w:val="16"/>
          <w:lang w:val="fr-CA"/>
        </w:rPr>
        <w:t xml:space="preserve"> sur Formulaire </w:t>
      </w:r>
      <w:r w:rsidRPr="00E80C1E">
        <w:rPr>
          <w:szCs w:val="16"/>
          <w:lang w:val="fr-CA"/>
        </w:rPr>
        <w:t>S-</w:t>
      </w:r>
      <w:r w:rsidRPr="00986BEB">
        <w:rPr>
          <w:szCs w:val="16"/>
          <w:lang w:val="fr-CA"/>
        </w:rPr>
        <w:t>3</w:t>
      </w:r>
      <w:r>
        <w:rPr>
          <w:szCs w:val="16"/>
          <w:lang w:val="fr-CA"/>
        </w:rPr>
        <w:t xml:space="preserve">ou </w:t>
      </w:r>
      <w:r w:rsidRPr="00E80C1E">
        <w:rPr>
          <w:szCs w:val="16"/>
          <w:lang w:val="fr-CA"/>
        </w:rPr>
        <w:t>F-</w:t>
      </w:r>
      <w:r w:rsidRPr="00986BEB">
        <w:rPr>
          <w:szCs w:val="16"/>
          <w:lang w:val="fr-CA"/>
        </w:rPr>
        <w:t>3</w:t>
      </w:r>
      <w:r w:rsidRPr="00E80C1E">
        <w:rPr>
          <w:szCs w:val="16"/>
          <w:lang w:val="fr-CA"/>
        </w:rPr>
        <w:t xml:space="preserve">, </w:t>
      </w:r>
      <w:r>
        <w:rPr>
          <w:szCs w:val="16"/>
          <w:lang w:val="fr-CA"/>
        </w:rPr>
        <w:t>quoi</w:t>
      </w:r>
      <w:r w:rsidRPr="00E80C1E">
        <w:rPr>
          <w:szCs w:val="16"/>
          <w:lang w:val="fr-CA"/>
        </w:rPr>
        <w:t xml:space="preserve">que ces droits seront souvent subordonnés à ceux des investisseurs </w:t>
      </w:r>
      <w:r w:rsidRPr="009A4650">
        <w:rPr>
          <w:szCs w:val="16"/>
          <w:lang w:val="fr-CA"/>
        </w:rPr>
        <w:t>si les preneurs fermes exercent leur droit de réduction. Si de tels droits sont accordés, il faudra inclure aux présent</w:t>
      </w:r>
      <w:r w:rsidRPr="00E80C1E">
        <w:rPr>
          <w:szCs w:val="16"/>
          <w:lang w:val="fr-CA"/>
        </w:rPr>
        <w:t xml:space="preserve">es des dispositions </w:t>
      </w:r>
      <w:r>
        <w:rPr>
          <w:szCs w:val="16"/>
          <w:lang w:val="fr-CA"/>
        </w:rPr>
        <w:t xml:space="preserve">définissant </w:t>
      </w:r>
      <w:r w:rsidRPr="00E80C1E">
        <w:rPr>
          <w:szCs w:val="16"/>
          <w:lang w:val="fr-CA"/>
        </w:rPr>
        <w:t xml:space="preserve">ces droits et </w:t>
      </w:r>
      <w:r>
        <w:rPr>
          <w:szCs w:val="16"/>
          <w:lang w:val="fr-CA"/>
        </w:rPr>
        <w:t xml:space="preserve">prévoyant </w:t>
      </w:r>
      <w:r w:rsidRPr="00E80C1E">
        <w:rPr>
          <w:szCs w:val="16"/>
          <w:lang w:val="fr-CA"/>
        </w:rPr>
        <w:t>des réductions appropriées ainsi que des limitations et des protections en cas de modification et de renonciation.</w:t>
      </w:r>
    </w:p>
  </w:footnote>
  <w:footnote w:id="10">
    <w:p w14:paraId="23CFCF35" w14:textId="77777777" w:rsidR="00D423E9" w:rsidRPr="00E80C1E" w:rsidRDefault="00D423E9" w:rsidP="00D423E9">
      <w:pPr>
        <w:pStyle w:val="FootnoteText"/>
        <w:rPr>
          <w:lang w:val="fr-CA"/>
        </w:rPr>
      </w:pPr>
      <w:r w:rsidRPr="00986BEB">
        <w:rPr>
          <w:rStyle w:val="FootnoteReference"/>
          <w:lang w:val="fr-CA"/>
        </w:rPr>
        <w:footnoteRef/>
      </w:r>
      <w:r w:rsidRPr="00E80C1E">
        <w:rPr>
          <w:szCs w:val="16"/>
          <w:lang w:val="fr-CA"/>
        </w:rPr>
        <w:t xml:space="preserve"> Les Titres </w:t>
      </w:r>
      <w:r>
        <w:rPr>
          <w:szCs w:val="16"/>
          <w:lang w:val="fr-CA"/>
        </w:rPr>
        <w:t>à inscrire</w:t>
      </w:r>
      <w:r w:rsidRPr="00E80C1E">
        <w:rPr>
          <w:szCs w:val="16"/>
          <w:lang w:val="fr-CA"/>
        </w:rPr>
        <w:t xml:space="preserve"> sont définis </w:t>
      </w:r>
      <w:r>
        <w:rPr>
          <w:szCs w:val="16"/>
          <w:lang w:val="fr-CA"/>
        </w:rPr>
        <w:t xml:space="preserve">comme des </w:t>
      </w:r>
      <w:r w:rsidRPr="00E80C1E">
        <w:rPr>
          <w:szCs w:val="16"/>
          <w:lang w:val="fr-CA"/>
        </w:rPr>
        <w:t>actions ordinaires, car les actions privilégiées de sociétés financées par du capital de risque ne sont habituellement pas vendues ni commercialisées dans le cadre d’un PAPE. La formulation « émise</w:t>
      </w:r>
      <w:r>
        <w:rPr>
          <w:szCs w:val="16"/>
          <w:lang w:val="fr-CA"/>
        </w:rPr>
        <w:t>s</w:t>
      </w:r>
      <w:r w:rsidRPr="00E80C1E">
        <w:rPr>
          <w:szCs w:val="16"/>
          <w:lang w:val="fr-CA"/>
        </w:rPr>
        <w:t xml:space="preserve"> ou pouvant être émise</w:t>
      </w:r>
      <w:r>
        <w:rPr>
          <w:szCs w:val="16"/>
          <w:lang w:val="fr-CA"/>
        </w:rPr>
        <w:t>s</w:t>
      </w:r>
      <w:r w:rsidRPr="00E80C1E">
        <w:rPr>
          <w:szCs w:val="16"/>
          <w:lang w:val="fr-CA"/>
        </w:rPr>
        <w:t xml:space="preserve"> » devrait être utilisée de sorte que la définition s’applique </w:t>
      </w:r>
      <w:r>
        <w:rPr>
          <w:szCs w:val="16"/>
          <w:lang w:val="fr-CA"/>
        </w:rPr>
        <w:t>que</w:t>
      </w:r>
      <w:r w:rsidRPr="00E80C1E">
        <w:rPr>
          <w:szCs w:val="16"/>
          <w:lang w:val="fr-CA"/>
        </w:rPr>
        <w:t xml:space="preserve"> les actions privilégiées </w:t>
      </w:r>
      <w:r>
        <w:rPr>
          <w:szCs w:val="16"/>
          <w:lang w:val="fr-CA"/>
        </w:rPr>
        <w:t xml:space="preserve">aient été </w:t>
      </w:r>
      <w:r w:rsidRPr="00E80C1E">
        <w:rPr>
          <w:szCs w:val="16"/>
          <w:lang w:val="fr-CA"/>
        </w:rPr>
        <w:t>converties</w:t>
      </w:r>
      <w:r>
        <w:rPr>
          <w:szCs w:val="16"/>
          <w:lang w:val="fr-CA"/>
        </w:rPr>
        <w:t xml:space="preserve"> ou non</w:t>
      </w:r>
      <w:r w:rsidRPr="00E80C1E">
        <w:rPr>
          <w:szCs w:val="16"/>
          <w:lang w:val="fr-CA"/>
        </w:rPr>
        <w:t>. Note</w:t>
      </w:r>
      <w:r>
        <w:rPr>
          <w:szCs w:val="16"/>
          <w:lang w:val="fr-CA"/>
        </w:rPr>
        <w:t>z</w:t>
      </w:r>
      <w:r w:rsidRPr="00E80C1E">
        <w:rPr>
          <w:szCs w:val="16"/>
          <w:lang w:val="fr-CA"/>
        </w:rPr>
        <w:t xml:space="preserve"> que la disposition sur la transférabilité </w:t>
      </w:r>
      <w:r>
        <w:rPr>
          <w:szCs w:val="16"/>
          <w:lang w:val="fr-CA"/>
        </w:rPr>
        <w:t xml:space="preserve">est formulée de façon que </w:t>
      </w:r>
      <w:r w:rsidRPr="00E80C1E">
        <w:rPr>
          <w:szCs w:val="16"/>
          <w:lang w:val="fr-CA"/>
        </w:rPr>
        <w:t xml:space="preserve">certains transferts </w:t>
      </w:r>
      <w:r>
        <w:rPr>
          <w:szCs w:val="16"/>
          <w:lang w:val="fr-CA"/>
        </w:rPr>
        <w:t xml:space="preserve">d’actions </w:t>
      </w:r>
      <w:r w:rsidRPr="00E80C1E">
        <w:rPr>
          <w:szCs w:val="16"/>
          <w:lang w:val="fr-CA"/>
        </w:rPr>
        <w:t xml:space="preserve">importants </w:t>
      </w:r>
      <w:r>
        <w:rPr>
          <w:szCs w:val="16"/>
          <w:lang w:val="fr-CA"/>
        </w:rPr>
        <w:t xml:space="preserve">effectués </w:t>
      </w:r>
      <w:r w:rsidRPr="00E80C1E">
        <w:rPr>
          <w:szCs w:val="16"/>
          <w:lang w:val="fr-CA"/>
        </w:rPr>
        <w:t xml:space="preserve">conformément à des dispenses prévues par la Loi de </w:t>
      </w:r>
      <w:r w:rsidRPr="00986BEB">
        <w:rPr>
          <w:szCs w:val="16"/>
          <w:lang w:val="fr-CA"/>
        </w:rPr>
        <w:t>1933</w:t>
      </w:r>
      <w:r w:rsidRPr="00E80C1E">
        <w:rPr>
          <w:szCs w:val="16"/>
          <w:lang w:val="fr-CA"/>
        </w:rPr>
        <w:t xml:space="preserve"> ou </w:t>
      </w:r>
      <w:r>
        <w:rPr>
          <w:szCs w:val="16"/>
          <w:lang w:val="fr-CA"/>
        </w:rPr>
        <w:t xml:space="preserve">par </w:t>
      </w:r>
      <w:r w:rsidRPr="00E80C1E">
        <w:rPr>
          <w:szCs w:val="16"/>
          <w:lang w:val="fr-CA"/>
        </w:rPr>
        <w:t xml:space="preserve">les Lois canadiennes sur les valeurs mobilières </w:t>
      </w:r>
      <w:r>
        <w:rPr>
          <w:szCs w:val="16"/>
          <w:lang w:val="fr-CA"/>
        </w:rPr>
        <w:t xml:space="preserve">n’aient </w:t>
      </w:r>
      <w:r w:rsidRPr="00E80C1E">
        <w:rPr>
          <w:szCs w:val="16"/>
          <w:lang w:val="fr-CA"/>
        </w:rPr>
        <w:t xml:space="preserve">pas pour effet de supprimer les droits d’inscription associés </w:t>
      </w:r>
      <w:r>
        <w:rPr>
          <w:szCs w:val="16"/>
          <w:lang w:val="fr-CA"/>
        </w:rPr>
        <w:t>à ces actions</w:t>
      </w:r>
      <w:r w:rsidRPr="00E80C1E">
        <w:rPr>
          <w:szCs w:val="16"/>
          <w:lang w:val="fr-CA"/>
        </w:rPr>
        <w:t xml:space="preserve">. </w:t>
      </w:r>
    </w:p>
  </w:footnote>
  <w:footnote w:id="11">
    <w:p w14:paraId="1C40F40A" w14:textId="722467E3"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96593D" w:rsidRPr="00E80C1E">
        <w:rPr>
          <w:szCs w:val="16"/>
          <w:lang w:val="fr-CA"/>
        </w:rPr>
        <w:t xml:space="preserve">Les droits d’inscription représentent un concept américain qui permet la négociation de titres devant être inscrits aux termes de déclarations d’inscription pour </w:t>
      </w:r>
      <w:r w:rsidR="008576CC">
        <w:rPr>
          <w:szCs w:val="16"/>
          <w:lang w:val="fr-CA"/>
        </w:rPr>
        <w:t>autoriser la négociation d’</w:t>
      </w:r>
      <w:r w:rsidR="0096593D" w:rsidRPr="00E80C1E">
        <w:rPr>
          <w:szCs w:val="16"/>
          <w:lang w:val="fr-CA"/>
        </w:rPr>
        <w:t xml:space="preserve">actions </w:t>
      </w:r>
      <w:r w:rsidR="00E963B6" w:rsidRPr="00E80C1E">
        <w:rPr>
          <w:szCs w:val="16"/>
          <w:lang w:val="fr-CA"/>
        </w:rPr>
        <w:t xml:space="preserve">sur le marché </w:t>
      </w:r>
      <w:r w:rsidR="0096593D" w:rsidRPr="00E80C1E">
        <w:rPr>
          <w:szCs w:val="16"/>
          <w:lang w:val="fr-CA"/>
        </w:rPr>
        <w:t>public</w:t>
      </w:r>
      <w:r w:rsidRPr="00E80C1E">
        <w:rPr>
          <w:szCs w:val="16"/>
          <w:lang w:val="fr-CA"/>
        </w:rPr>
        <w:t xml:space="preserve">. </w:t>
      </w:r>
      <w:r w:rsidR="0096593D" w:rsidRPr="00E80C1E">
        <w:rPr>
          <w:szCs w:val="16"/>
          <w:lang w:val="fr-CA"/>
        </w:rPr>
        <w:t xml:space="preserve">Ce concept est semblable au concept canadien consistant à </w:t>
      </w:r>
      <w:r w:rsidR="008576CC">
        <w:rPr>
          <w:szCs w:val="16"/>
          <w:lang w:val="fr-CA"/>
        </w:rPr>
        <w:t xml:space="preserve">viser </w:t>
      </w:r>
      <w:r w:rsidR="0096593D" w:rsidRPr="00E80C1E">
        <w:rPr>
          <w:szCs w:val="16"/>
          <w:lang w:val="fr-CA"/>
        </w:rPr>
        <w:t xml:space="preserve">un placement de titres </w:t>
      </w:r>
      <w:r w:rsidR="008576CC">
        <w:rPr>
          <w:szCs w:val="16"/>
          <w:lang w:val="fr-CA"/>
        </w:rPr>
        <w:t xml:space="preserve">au moyen </w:t>
      </w:r>
      <w:r w:rsidR="0096593D" w:rsidRPr="00E80C1E">
        <w:rPr>
          <w:szCs w:val="16"/>
          <w:lang w:val="fr-CA"/>
        </w:rPr>
        <w:t xml:space="preserve">d’un </w:t>
      </w:r>
      <w:r w:rsidRPr="00E80C1E">
        <w:rPr>
          <w:szCs w:val="16"/>
          <w:lang w:val="fr-CA"/>
        </w:rPr>
        <w:t xml:space="preserve">prospectus. </w:t>
      </w:r>
      <w:r w:rsidR="0096593D" w:rsidRPr="00E80C1E">
        <w:rPr>
          <w:szCs w:val="16"/>
          <w:lang w:val="fr-CA"/>
        </w:rPr>
        <w:t xml:space="preserve">Ces droits ont beaucoup moins </w:t>
      </w:r>
      <w:r w:rsidR="00E043C9" w:rsidRPr="00E80C1E">
        <w:rPr>
          <w:szCs w:val="16"/>
          <w:lang w:val="fr-CA"/>
        </w:rPr>
        <w:t>d’</w:t>
      </w:r>
      <w:r w:rsidR="0096593D" w:rsidRPr="00E80C1E">
        <w:rPr>
          <w:szCs w:val="16"/>
          <w:lang w:val="fr-CA"/>
        </w:rPr>
        <w:t>importan</w:t>
      </w:r>
      <w:r w:rsidR="00E043C9" w:rsidRPr="00E80C1E">
        <w:rPr>
          <w:szCs w:val="16"/>
          <w:lang w:val="fr-CA"/>
        </w:rPr>
        <w:t>ce</w:t>
      </w:r>
      <w:r w:rsidR="0096593D" w:rsidRPr="00E80C1E">
        <w:rPr>
          <w:szCs w:val="16"/>
          <w:lang w:val="fr-CA"/>
        </w:rPr>
        <w:t xml:space="preserve"> au </w:t>
      </w:r>
      <w:r w:rsidRPr="00E80C1E">
        <w:rPr>
          <w:szCs w:val="16"/>
          <w:lang w:val="fr-CA"/>
        </w:rPr>
        <w:t>Canada</w:t>
      </w:r>
      <w:r w:rsidR="0096593D" w:rsidRPr="00E80C1E">
        <w:rPr>
          <w:szCs w:val="16"/>
          <w:lang w:val="fr-CA"/>
        </w:rPr>
        <w:t>, car une fois qu’une société</w:t>
      </w:r>
      <w:r w:rsidR="00567096">
        <w:rPr>
          <w:szCs w:val="16"/>
          <w:lang w:val="fr-CA"/>
        </w:rPr>
        <w:t xml:space="preserve"> est introduite en bourse</w:t>
      </w:r>
      <w:r w:rsidRPr="00E80C1E">
        <w:rPr>
          <w:szCs w:val="16"/>
          <w:lang w:val="fr-CA"/>
        </w:rPr>
        <w:t xml:space="preserve">, </w:t>
      </w:r>
      <w:r w:rsidR="00E963B6" w:rsidRPr="00E80C1E">
        <w:rPr>
          <w:szCs w:val="16"/>
          <w:lang w:val="fr-CA"/>
        </w:rPr>
        <w:t>les actionnaires sont généralement libres de vendre leurs actions sur le marché public sans obligation de dépôt</w:t>
      </w:r>
      <w:r w:rsidRPr="00E80C1E">
        <w:rPr>
          <w:szCs w:val="16"/>
          <w:lang w:val="fr-CA"/>
        </w:rPr>
        <w:t xml:space="preserve">. </w:t>
      </w:r>
      <w:r w:rsidR="00E043C9" w:rsidRPr="00E80C1E">
        <w:rPr>
          <w:szCs w:val="16"/>
          <w:lang w:val="fr-CA"/>
        </w:rPr>
        <w:t>La principale exception</w:t>
      </w:r>
      <w:r w:rsidR="00567096">
        <w:rPr>
          <w:szCs w:val="16"/>
          <w:lang w:val="fr-CA"/>
        </w:rPr>
        <w:t xml:space="preserve"> à cette règle </w:t>
      </w:r>
      <w:r w:rsidR="00E043C9" w:rsidRPr="00E80C1E">
        <w:rPr>
          <w:szCs w:val="16"/>
          <w:lang w:val="fr-CA"/>
        </w:rPr>
        <w:t xml:space="preserve">concerne les porteurs de blocs de contrôle, qui </w:t>
      </w:r>
      <w:r w:rsidR="002D7535">
        <w:rPr>
          <w:szCs w:val="16"/>
          <w:lang w:val="fr-CA"/>
        </w:rPr>
        <w:t xml:space="preserve">souhaitent parfois </w:t>
      </w:r>
      <w:r w:rsidR="00E043C9" w:rsidRPr="00E80C1E">
        <w:rPr>
          <w:szCs w:val="16"/>
          <w:lang w:val="fr-CA"/>
        </w:rPr>
        <w:t>vendre leurs actions au moyen d’un prospectus.</w:t>
      </w:r>
      <w:r w:rsidRPr="00E80C1E">
        <w:rPr>
          <w:szCs w:val="16"/>
          <w:lang w:val="fr-CA"/>
        </w:rPr>
        <w:t xml:space="preserve"> </w:t>
      </w:r>
      <w:r w:rsidR="00E043C9" w:rsidRPr="00E80C1E">
        <w:rPr>
          <w:szCs w:val="16"/>
          <w:lang w:val="fr-CA"/>
        </w:rPr>
        <w:t>Dans ce cas, l’actionnaire voudra des droits d’enregistrement.</w:t>
      </w:r>
      <w:r w:rsidRPr="00E80C1E">
        <w:rPr>
          <w:szCs w:val="16"/>
          <w:lang w:val="fr-CA"/>
        </w:rPr>
        <w:t xml:space="preserve"> </w:t>
      </w:r>
      <w:r w:rsidR="00E043C9" w:rsidRPr="00E80C1E">
        <w:rPr>
          <w:szCs w:val="16"/>
          <w:lang w:val="fr-CA"/>
        </w:rPr>
        <w:t xml:space="preserve">Les actionnaires </w:t>
      </w:r>
      <w:r w:rsidR="002D7535">
        <w:rPr>
          <w:szCs w:val="16"/>
          <w:lang w:val="fr-CA"/>
        </w:rPr>
        <w:t xml:space="preserve">pourraient </w:t>
      </w:r>
      <w:r w:rsidR="00E043C9" w:rsidRPr="00E80C1E">
        <w:rPr>
          <w:szCs w:val="16"/>
          <w:lang w:val="fr-CA"/>
        </w:rPr>
        <w:t>également vouloir des droits d’entraînement à l’égard des placements de la Société.</w:t>
      </w:r>
      <w:r w:rsidRPr="00E80C1E">
        <w:rPr>
          <w:szCs w:val="16"/>
          <w:lang w:val="fr-CA"/>
        </w:rPr>
        <w:t xml:space="preserve"> </w:t>
      </w:r>
      <w:r w:rsidR="00E043C9" w:rsidRPr="00E80C1E">
        <w:rPr>
          <w:szCs w:val="16"/>
          <w:lang w:val="fr-CA"/>
        </w:rPr>
        <w:t xml:space="preserve">En règle générale, </w:t>
      </w:r>
      <w:r w:rsidR="002D7535">
        <w:rPr>
          <w:szCs w:val="16"/>
          <w:lang w:val="fr-CA"/>
        </w:rPr>
        <w:t xml:space="preserve">des droits d’inscription ne sont pas accordés dans </w:t>
      </w:r>
      <w:r w:rsidR="00E043C9" w:rsidRPr="00E80C1E">
        <w:rPr>
          <w:szCs w:val="16"/>
          <w:lang w:val="fr-CA"/>
        </w:rPr>
        <w:t>les opérations de capital de risque canadiennes</w:t>
      </w:r>
      <w:r w:rsidR="002D7535">
        <w:rPr>
          <w:szCs w:val="16"/>
          <w:lang w:val="fr-CA"/>
        </w:rPr>
        <w:t xml:space="preserve"> lorsqu’aucun </w:t>
      </w:r>
      <w:r w:rsidR="00E043C9" w:rsidRPr="00E80C1E">
        <w:rPr>
          <w:szCs w:val="16"/>
          <w:lang w:val="fr-CA"/>
        </w:rPr>
        <w:t xml:space="preserve">investisseur américain </w:t>
      </w:r>
      <w:r w:rsidR="002D7535">
        <w:rPr>
          <w:szCs w:val="16"/>
          <w:lang w:val="fr-CA"/>
        </w:rPr>
        <w:t>n’y participe</w:t>
      </w:r>
      <w:r w:rsidRPr="00E80C1E">
        <w:rPr>
          <w:szCs w:val="16"/>
          <w:lang w:val="fr-CA"/>
        </w:rPr>
        <w:t xml:space="preserve">. </w:t>
      </w:r>
      <w:r w:rsidR="00E043C9" w:rsidRPr="00E80C1E">
        <w:rPr>
          <w:szCs w:val="16"/>
          <w:lang w:val="fr-CA"/>
        </w:rPr>
        <w:t xml:space="preserve">Dans certains cas, les documents de placement </w:t>
      </w:r>
      <w:r w:rsidR="00587932">
        <w:rPr>
          <w:szCs w:val="16"/>
          <w:lang w:val="fr-CA"/>
        </w:rPr>
        <w:t xml:space="preserve">stipulent </w:t>
      </w:r>
      <w:r w:rsidR="00E043C9" w:rsidRPr="00E80C1E">
        <w:rPr>
          <w:szCs w:val="16"/>
          <w:lang w:val="fr-CA"/>
        </w:rPr>
        <w:t xml:space="preserve">simplement que la </w:t>
      </w:r>
      <w:r w:rsidR="00887128">
        <w:rPr>
          <w:szCs w:val="16"/>
          <w:lang w:val="fr-CA"/>
        </w:rPr>
        <w:t>s</w:t>
      </w:r>
      <w:r w:rsidRPr="00E80C1E">
        <w:rPr>
          <w:szCs w:val="16"/>
          <w:lang w:val="fr-CA"/>
        </w:rPr>
        <w:t xml:space="preserve">ociété </w:t>
      </w:r>
      <w:r w:rsidR="00E043C9" w:rsidRPr="00E80C1E">
        <w:rPr>
          <w:szCs w:val="16"/>
          <w:lang w:val="fr-CA"/>
        </w:rPr>
        <w:t xml:space="preserve">ne peut accorder de droits d’inscription </w:t>
      </w:r>
      <w:r w:rsidR="00587932">
        <w:rPr>
          <w:szCs w:val="16"/>
          <w:lang w:val="fr-CA"/>
        </w:rPr>
        <w:t xml:space="preserve">aux </w:t>
      </w:r>
      <w:r w:rsidR="00E043C9" w:rsidRPr="00E80C1E">
        <w:rPr>
          <w:szCs w:val="16"/>
          <w:lang w:val="fr-CA"/>
        </w:rPr>
        <w:t xml:space="preserve">investisseurs subséquents que </w:t>
      </w:r>
      <w:r w:rsidR="00887128">
        <w:rPr>
          <w:szCs w:val="16"/>
          <w:lang w:val="fr-CA"/>
        </w:rPr>
        <w:t xml:space="preserve">si essentiellement </w:t>
      </w:r>
      <w:r w:rsidR="00E043C9" w:rsidRPr="00E80C1E">
        <w:rPr>
          <w:szCs w:val="16"/>
          <w:lang w:val="fr-CA"/>
        </w:rPr>
        <w:t>les mêmes droits sont accordés aux investisseurs existants</w:t>
      </w:r>
      <w:r w:rsidRPr="00E80C1E">
        <w:rPr>
          <w:szCs w:val="16"/>
          <w:lang w:val="fr-CA"/>
        </w:rPr>
        <w:t>.</w:t>
      </w:r>
    </w:p>
  </w:footnote>
  <w:footnote w:id="12">
    <w:p w14:paraId="02DEEB0B" w14:textId="64DD783A"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CF7B57">
        <w:rPr>
          <w:lang w:val="fr-CA"/>
        </w:rPr>
        <w:t>P</w:t>
      </w:r>
      <w:r w:rsidR="0016271C" w:rsidRPr="00E80C1E">
        <w:rPr>
          <w:lang w:val="fr-CA"/>
        </w:rPr>
        <w:t>our éviter un report perpétuel fortuit</w:t>
      </w:r>
      <w:r w:rsidR="00CF7B57">
        <w:rPr>
          <w:lang w:val="fr-CA"/>
        </w:rPr>
        <w:t xml:space="preserve">, le </w:t>
      </w:r>
      <w:r w:rsidR="00CF7B57" w:rsidRPr="00E80C1E">
        <w:rPr>
          <w:lang w:val="fr-CA"/>
        </w:rPr>
        <w:t>conseiller juridique des investisseurs</w:t>
      </w:r>
      <w:r w:rsidR="00CF7B57">
        <w:rPr>
          <w:lang w:val="fr-CA"/>
        </w:rPr>
        <w:t xml:space="preserve"> peut envisager </w:t>
      </w:r>
      <w:r w:rsidR="0016271C" w:rsidRPr="00E80C1E">
        <w:rPr>
          <w:lang w:val="fr-CA"/>
        </w:rPr>
        <w:t>d’in</w:t>
      </w:r>
      <w:r w:rsidR="00CF7B57">
        <w:rPr>
          <w:lang w:val="fr-CA"/>
        </w:rPr>
        <w:t xml:space="preserve">diquer </w:t>
      </w:r>
      <w:r w:rsidR="0016271C" w:rsidRPr="00E80C1E">
        <w:rPr>
          <w:lang w:val="fr-CA"/>
        </w:rPr>
        <w:t>une date précise qui correspond au délai convenu</w:t>
      </w:r>
      <w:r w:rsidRPr="00E80C1E">
        <w:rPr>
          <w:lang w:val="fr-CA"/>
        </w:rPr>
        <w:t>.</w:t>
      </w:r>
    </w:p>
  </w:footnote>
  <w:footnote w:id="13">
    <w:p w14:paraId="3CEBBC72" w14:textId="5AB0816A"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16271C" w:rsidRPr="00E80C1E">
        <w:rPr>
          <w:szCs w:val="16"/>
          <w:lang w:val="fr-CA"/>
        </w:rPr>
        <w:t>L</w:t>
      </w:r>
      <w:r w:rsidR="008F050F">
        <w:rPr>
          <w:szCs w:val="16"/>
          <w:lang w:val="fr-CA"/>
        </w:rPr>
        <w:t xml:space="preserve">e moment à partir duquel des </w:t>
      </w:r>
      <w:r w:rsidR="0016271C" w:rsidRPr="00E80C1E">
        <w:rPr>
          <w:szCs w:val="16"/>
          <w:lang w:val="fr-CA"/>
        </w:rPr>
        <w:t xml:space="preserve">droits d’inscription </w:t>
      </w:r>
      <w:r w:rsidR="008F050F">
        <w:rPr>
          <w:szCs w:val="16"/>
          <w:lang w:val="fr-CA"/>
        </w:rPr>
        <w:t xml:space="preserve">peuvent être demandés </w:t>
      </w:r>
      <w:r w:rsidR="0016271C" w:rsidRPr="00E80C1E">
        <w:rPr>
          <w:szCs w:val="16"/>
          <w:lang w:val="fr-CA"/>
        </w:rPr>
        <w:t xml:space="preserve">comporte généralement deux </w:t>
      </w:r>
      <w:r w:rsidR="00CD3164">
        <w:rPr>
          <w:szCs w:val="16"/>
          <w:lang w:val="fr-CA"/>
        </w:rPr>
        <w:t>échéances</w:t>
      </w:r>
      <w:r w:rsidR="007A5BA8">
        <w:rPr>
          <w:szCs w:val="16"/>
          <w:lang w:val="fr-CA"/>
        </w:rPr>
        <w:t>, l</w:t>
      </w:r>
      <w:r w:rsidR="00CD3164">
        <w:rPr>
          <w:szCs w:val="16"/>
          <w:lang w:val="fr-CA"/>
        </w:rPr>
        <w:t>a</w:t>
      </w:r>
      <w:r w:rsidR="007A5BA8">
        <w:rPr>
          <w:szCs w:val="16"/>
          <w:lang w:val="fr-CA"/>
        </w:rPr>
        <w:t xml:space="preserve"> premi</w:t>
      </w:r>
      <w:r w:rsidR="00CD3164">
        <w:rPr>
          <w:szCs w:val="16"/>
          <w:lang w:val="fr-CA"/>
        </w:rPr>
        <w:t>ère</w:t>
      </w:r>
      <w:r w:rsidR="007A5BA8">
        <w:rPr>
          <w:szCs w:val="16"/>
          <w:lang w:val="fr-CA"/>
        </w:rPr>
        <w:t xml:space="preserve"> </w:t>
      </w:r>
      <w:r w:rsidR="00CD3164">
        <w:rPr>
          <w:szCs w:val="16"/>
          <w:lang w:val="fr-CA"/>
        </w:rPr>
        <w:t xml:space="preserve">visant </w:t>
      </w:r>
      <w:r w:rsidR="0016271C" w:rsidRPr="00E80C1E">
        <w:rPr>
          <w:szCs w:val="16"/>
          <w:lang w:val="fr-CA"/>
        </w:rPr>
        <w:t xml:space="preserve">à permettre aux </w:t>
      </w:r>
      <w:r w:rsidRPr="00E80C1E">
        <w:rPr>
          <w:szCs w:val="16"/>
          <w:lang w:val="fr-CA"/>
        </w:rPr>
        <w:t xml:space="preserve">investisseurs </w:t>
      </w:r>
      <w:r w:rsidR="0016271C" w:rsidRPr="00E80C1E">
        <w:rPr>
          <w:szCs w:val="16"/>
          <w:lang w:val="fr-CA"/>
        </w:rPr>
        <w:t xml:space="preserve">d’obliger la </w:t>
      </w:r>
      <w:r w:rsidRPr="00E80C1E">
        <w:rPr>
          <w:szCs w:val="16"/>
          <w:lang w:val="fr-CA"/>
        </w:rPr>
        <w:t xml:space="preserve">Société </w:t>
      </w:r>
      <w:r w:rsidR="0016271C" w:rsidRPr="00E80C1E">
        <w:rPr>
          <w:szCs w:val="16"/>
          <w:lang w:val="fr-CA"/>
        </w:rPr>
        <w:t xml:space="preserve">à s’introduire en bourse si elle ne l’a pas déjà fait </w:t>
      </w:r>
      <w:r w:rsidRPr="00E80C1E">
        <w:rPr>
          <w:szCs w:val="16"/>
          <w:lang w:val="fr-CA"/>
        </w:rPr>
        <w:t>(</w:t>
      </w:r>
      <w:r w:rsidR="00E83E96">
        <w:rPr>
          <w:szCs w:val="16"/>
          <w:lang w:val="fr-CA"/>
        </w:rPr>
        <w:t>ce qui correspond</w:t>
      </w:r>
      <w:r w:rsidR="00CD3164">
        <w:rPr>
          <w:szCs w:val="16"/>
          <w:lang w:val="fr-CA"/>
        </w:rPr>
        <w:t xml:space="preserve"> habituellement </w:t>
      </w:r>
      <w:r w:rsidR="00E83E96">
        <w:rPr>
          <w:szCs w:val="16"/>
          <w:lang w:val="fr-CA"/>
        </w:rPr>
        <w:t xml:space="preserve">à une période de </w:t>
      </w:r>
      <w:r w:rsidR="0016271C" w:rsidRPr="00E80C1E">
        <w:rPr>
          <w:szCs w:val="16"/>
          <w:lang w:val="fr-CA"/>
        </w:rPr>
        <w:t>trois </w:t>
      </w:r>
      <w:r w:rsidRPr="00E80C1E">
        <w:rPr>
          <w:szCs w:val="16"/>
          <w:lang w:val="fr-CA"/>
        </w:rPr>
        <w:t>(</w:t>
      </w:r>
      <w:r w:rsidRPr="00986BEB">
        <w:rPr>
          <w:szCs w:val="16"/>
          <w:lang w:val="fr-CA"/>
        </w:rPr>
        <w:t>3</w:t>
      </w:r>
      <w:r w:rsidRPr="00E80C1E">
        <w:rPr>
          <w:szCs w:val="16"/>
          <w:lang w:val="fr-CA"/>
        </w:rPr>
        <w:t xml:space="preserve">) </w:t>
      </w:r>
      <w:r w:rsidR="00E83E96">
        <w:rPr>
          <w:szCs w:val="16"/>
          <w:lang w:val="fr-CA"/>
        </w:rPr>
        <w:t>à</w:t>
      </w:r>
      <w:r w:rsidR="0016271C" w:rsidRPr="00E80C1E">
        <w:rPr>
          <w:szCs w:val="16"/>
          <w:lang w:val="fr-CA"/>
        </w:rPr>
        <w:t xml:space="preserve"> cinq </w:t>
      </w:r>
      <w:r w:rsidRPr="00E80C1E">
        <w:rPr>
          <w:szCs w:val="16"/>
          <w:lang w:val="fr-CA"/>
        </w:rPr>
        <w:t>(</w:t>
      </w:r>
      <w:r w:rsidRPr="00986BEB">
        <w:rPr>
          <w:szCs w:val="16"/>
          <w:lang w:val="fr-CA"/>
        </w:rPr>
        <w:t>5</w:t>
      </w:r>
      <w:r w:rsidRPr="00E80C1E">
        <w:rPr>
          <w:szCs w:val="16"/>
          <w:lang w:val="fr-CA"/>
        </w:rPr>
        <w:t>)</w:t>
      </w:r>
      <w:r w:rsidR="0016271C" w:rsidRPr="00E80C1E">
        <w:rPr>
          <w:szCs w:val="16"/>
          <w:lang w:val="fr-CA"/>
        </w:rPr>
        <w:t> ans</w:t>
      </w:r>
      <w:r w:rsidRPr="00E80C1E">
        <w:rPr>
          <w:szCs w:val="16"/>
          <w:lang w:val="fr-CA"/>
        </w:rPr>
        <w:t xml:space="preserve">), </w:t>
      </w:r>
      <w:r w:rsidR="0016271C" w:rsidRPr="00E80C1E">
        <w:rPr>
          <w:szCs w:val="16"/>
          <w:lang w:val="fr-CA"/>
        </w:rPr>
        <w:t xml:space="preserve">bien </w:t>
      </w:r>
      <w:r w:rsidR="00C141C1">
        <w:rPr>
          <w:szCs w:val="16"/>
          <w:lang w:val="fr-CA"/>
        </w:rPr>
        <w:t xml:space="preserve">que ce scénario </w:t>
      </w:r>
      <w:r w:rsidR="0016271C" w:rsidRPr="00E80C1E">
        <w:rPr>
          <w:szCs w:val="16"/>
          <w:lang w:val="fr-CA"/>
        </w:rPr>
        <w:t xml:space="preserve">ne se produise </w:t>
      </w:r>
      <w:r w:rsidR="00CD3164">
        <w:rPr>
          <w:szCs w:val="16"/>
          <w:lang w:val="fr-CA"/>
        </w:rPr>
        <w:t xml:space="preserve">presque </w:t>
      </w:r>
      <w:r w:rsidR="0016271C" w:rsidRPr="00E80C1E">
        <w:rPr>
          <w:szCs w:val="16"/>
          <w:lang w:val="fr-CA"/>
        </w:rPr>
        <w:t>jamais</w:t>
      </w:r>
      <w:r w:rsidR="00CD3164">
        <w:rPr>
          <w:szCs w:val="16"/>
          <w:lang w:val="fr-CA"/>
        </w:rPr>
        <w:t xml:space="preserve"> dans la réalité, et l</w:t>
      </w:r>
      <w:r w:rsidR="00E83E96">
        <w:rPr>
          <w:szCs w:val="16"/>
          <w:lang w:val="fr-CA"/>
        </w:rPr>
        <w:t>a</w:t>
      </w:r>
      <w:r w:rsidR="00CD3164">
        <w:rPr>
          <w:szCs w:val="16"/>
          <w:lang w:val="fr-CA"/>
        </w:rPr>
        <w:t xml:space="preserve"> second</w:t>
      </w:r>
      <w:r w:rsidR="00E83E96">
        <w:rPr>
          <w:szCs w:val="16"/>
          <w:lang w:val="fr-CA"/>
        </w:rPr>
        <w:t xml:space="preserve">e étant </w:t>
      </w:r>
      <w:r w:rsidR="0016271C" w:rsidRPr="00E80C1E">
        <w:rPr>
          <w:szCs w:val="16"/>
          <w:lang w:val="fr-CA"/>
        </w:rPr>
        <w:t>fixé</w:t>
      </w:r>
      <w:r w:rsidR="00E83E96">
        <w:rPr>
          <w:szCs w:val="16"/>
          <w:lang w:val="fr-CA"/>
        </w:rPr>
        <w:t>e</w:t>
      </w:r>
      <w:r w:rsidR="0016271C" w:rsidRPr="00E80C1E">
        <w:rPr>
          <w:szCs w:val="16"/>
          <w:lang w:val="fr-CA"/>
        </w:rPr>
        <w:t xml:space="preserve"> autour de l’expiration de</w:t>
      </w:r>
      <w:r w:rsidR="00C141C1">
        <w:rPr>
          <w:szCs w:val="16"/>
          <w:lang w:val="fr-CA"/>
        </w:rPr>
        <w:t>s</w:t>
      </w:r>
      <w:r w:rsidR="0016271C" w:rsidRPr="00E80C1E">
        <w:rPr>
          <w:szCs w:val="16"/>
          <w:lang w:val="fr-CA"/>
        </w:rPr>
        <w:t xml:space="preserve"> période</w:t>
      </w:r>
      <w:r w:rsidR="00C141C1">
        <w:rPr>
          <w:szCs w:val="16"/>
          <w:lang w:val="fr-CA"/>
        </w:rPr>
        <w:t>s</w:t>
      </w:r>
      <w:r w:rsidR="0016271C" w:rsidRPr="00E80C1E">
        <w:rPr>
          <w:szCs w:val="16"/>
          <w:lang w:val="fr-CA"/>
        </w:rPr>
        <w:t xml:space="preserve"> de blocage des preneurs fermes à la suite d’une PAPE, </w:t>
      </w:r>
      <w:r w:rsidR="00C141C1">
        <w:rPr>
          <w:szCs w:val="16"/>
          <w:lang w:val="fr-CA"/>
        </w:rPr>
        <w:t xml:space="preserve">soit </w:t>
      </w:r>
      <w:r w:rsidR="0016271C" w:rsidRPr="00E80C1E">
        <w:rPr>
          <w:szCs w:val="16"/>
          <w:lang w:val="fr-CA"/>
        </w:rPr>
        <w:t>habituellement cent quatre-vingts </w:t>
      </w:r>
      <w:r w:rsidRPr="00E80C1E">
        <w:rPr>
          <w:szCs w:val="16"/>
          <w:lang w:val="fr-CA"/>
        </w:rPr>
        <w:t>(</w:t>
      </w:r>
      <w:r w:rsidRPr="00986BEB">
        <w:rPr>
          <w:szCs w:val="16"/>
          <w:lang w:val="fr-CA"/>
        </w:rPr>
        <w:t>180</w:t>
      </w:r>
      <w:r w:rsidRPr="00E80C1E">
        <w:rPr>
          <w:szCs w:val="16"/>
          <w:lang w:val="fr-CA"/>
        </w:rPr>
        <w:t>)</w:t>
      </w:r>
      <w:r w:rsidR="0016271C" w:rsidRPr="00E80C1E">
        <w:rPr>
          <w:szCs w:val="16"/>
          <w:lang w:val="fr-CA"/>
        </w:rPr>
        <w:t> jours après le PAPE</w:t>
      </w:r>
      <w:r w:rsidRPr="00E80C1E">
        <w:rPr>
          <w:szCs w:val="16"/>
          <w:lang w:val="fr-CA"/>
        </w:rPr>
        <w:t xml:space="preserve">. </w:t>
      </w:r>
      <w:r w:rsidR="0016271C" w:rsidRPr="00E80C1E">
        <w:rPr>
          <w:szCs w:val="16"/>
          <w:lang w:val="fr-CA"/>
        </w:rPr>
        <w:t>Voir le paragraphe</w:t>
      </w:r>
      <w:r w:rsidR="0016271C" w:rsidRPr="009D4254">
        <w:rPr>
          <w:szCs w:val="16"/>
          <w:lang w:val="fr-CA"/>
        </w:rPr>
        <w:t> </w:t>
      </w:r>
      <w:r w:rsidRPr="00986BEB">
        <w:rPr>
          <w:szCs w:val="16"/>
          <w:lang w:val="fr-CA"/>
        </w:rPr>
        <w:t>2.11</w:t>
      </w:r>
      <w:r w:rsidRPr="009D4254">
        <w:rPr>
          <w:szCs w:val="16"/>
          <w:lang w:val="fr-CA"/>
        </w:rPr>
        <w:t>.</w:t>
      </w:r>
    </w:p>
  </w:footnote>
  <w:footnote w:id="14">
    <w:p w14:paraId="3AA924C7" w14:textId="1FF780EE"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280F12" w:rsidRPr="00E80C1E">
        <w:rPr>
          <w:szCs w:val="16"/>
          <w:lang w:val="fr-CA"/>
        </w:rPr>
        <w:t>Comme pour tous les seuils de pourcentage de vote, on doit se demander si un seul investisseur peut contrôler ou bloquer le vote</w:t>
      </w:r>
      <w:r w:rsidRPr="00E80C1E">
        <w:rPr>
          <w:szCs w:val="16"/>
          <w:lang w:val="fr-CA"/>
        </w:rPr>
        <w:t xml:space="preserve">. </w:t>
      </w:r>
      <w:r w:rsidR="00280F12" w:rsidRPr="00E80C1E">
        <w:rPr>
          <w:szCs w:val="16"/>
          <w:lang w:val="fr-CA"/>
        </w:rPr>
        <w:t xml:space="preserve">Lorsqu’il y a plusieurs catégories d’actions privilégiées, il est important de comprendre la composition du groupe d’actionnaires pour s’assurer que chaque catégorie obtient les droits </w:t>
      </w:r>
      <w:r w:rsidR="00E83E96">
        <w:rPr>
          <w:szCs w:val="16"/>
          <w:lang w:val="fr-CA"/>
        </w:rPr>
        <w:t>qui ont été négociés</w:t>
      </w:r>
      <w:r w:rsidRPr="00E80C1E">
        <w:rPr>
          <w:szCs w:val="16"/>
          <w:lang w:val="fr-CA"/>
        </w:rPr>
        <w:t xml:space="preserve">. La Société </w:t>
      </w:r>
      <w:r w:rsidR="00280F12" w:rsidRPr="00E80C1E">
        <w:rPr>
          <w:szCs w:val="16"/>
          <w:lang w:val="fr-CA"/>
        </w:rPr>
        <w:t xml:space="preserve">aura avantage à ce que ce pourcentage soit assez élevé pour que les investisseurs qui lui demandent d’effectuer un placement </w:t>
      </w:r>
      <w:r w:rsidR="00CC5B8D">
        <w:rPr>
          <w:szCs w:val="16"/>
          <w:lang w:val="fr-CA"/>
        </w:rPr>
        <w:t xml:space="preserve">de titres </w:t>
      </w:r>
      <w:r w:rsidR="00280F12" w:rsidRPr="00E80C1E">
        <w:rPr>
          <w:szCs w:val="16"/>
          <w:lang w:val="fr-CA"/>
        </w:rPr>
        <w:t>inscrit</w:t>
      </w:r>
      <w:r w:rsidR="00CC5B8D">
        <w:rPr>
          <w:szCs w:val="16"/>
          <w:lang w:val="fr-CA"/>
        </w:rPr>
        <w:t>s</w:t>
      </w:r>
      <w:r w:rsidR="00280F12" w:rsidRPr="00E80C1E">
        <w:rPr>
          <w:szCs w:val="16"/>
          <w:lang w:val="fr-CA"/>
        </w:rPr>
        <w:t>, en particulier un IPO, représentent une grande proportion du groupe d’actionnaires</w:t>
      </w:r>
      <w:r w:rsidRPr="00E80C1E">
        <w:rPr>
          <w:szCs w:val="16"/>
          <w:lang w:val="fr-CA"/>
        </w:rPr>
        <w:t xml:space="preserve">. </w:t>
      </w:r>
      <w:r w:rsidR="00280F12" w:rsidRPr="00E80C1E">
        <w:rPr>
          <w:szCs w:val="16"/>
          <w:lang w:val="fr-CA"/>
        </w:rPr>
        <w:t>Les sociétés refusent généralement de permettre à un seul investisseur minoritaire de demander une inscription</w:t>
      </w:r>
      <w:r w:rsidRPr="00E80C1E">
        <w:rPr>
          <w:szCs w:val="16"/>
          <w:lang w:val="fr-CA"/>
        </w:rPr>
        <w:t xml:space="preserve">. </w:t>
      </w:r>
      <w:r w:rsidR="00280F12" w:rsidRPr="00E80C1E">
        <w:rPr>
          <w:szCs w:val="16"/>
          <w:lang w:val="fr-CA"/>
        </w:rPr>
        <w:t xml:space="preserve">Les investisseurs chevronnés voudront s’assurer que les investisseurs ayant moins d’expérience n’aient pas le droit </w:t>
      </w:r>
      <w:r w:rsidR="0029380C">
        <w:rPr>
          <w:szCs w:val="16"/>
          <w:lang w:val="fr-CA"/>
        </w:rPr>
        <w:t>d</w:t>
      </w:r>
      <w:r w:rsidR="008B003A">
        <w:rPr>
          <w:szCs w:val="16"/>
          <w:lang w:val="fr-CA"/>
        </w:rPr>
        <w:t xml:space="preserve">’exiger </w:t>
      </w:r>
      <w:r w:rsidR="00280F12" w:rsidRPr="00E80C1E">
        <w:rPr>
          <w:szCs w:val="16"/>
          <w:lang w:val="fr-CA"/>
        </w:rPr>
        <w:t>une inscription</w:t>
      </w:r>
      <w:r w:rsidR="008B003A">
        <w:rPr>
          <w:szCs w:val="16"/>
          <w:lang w:val="fr-CA"/>
        </w:rPr>
        <w:t xml:space="preserve"> sur demande</w:t>
      </w:r>
      <w:r w:rsidRPr="00E80C1E">
        <w:rPr>
          <w:szCs w:val="16"/>
          <w:lang w:val="fr-CA"/>
        </w:rPr>
        <w:t xml:space="preserve">. </w:t>
      </w:r>
      <w:r w:rsidR="00280F12" w:rsidRPr="00E80C1E">
        <w:rPr>
          <w:szCs w:val="16"/>
          <w:lang w:val="fr-CA"/>
        </w:rPr>
        <w:t xml:space="preserve">Dans certains cas, les porteurs de différentes catégories d’actions privilégiées peuvent demander que leur catégorie </w:t>
      </w:r>
      <w:r w:rsidR="008B003A">
        <w:rPr>
          <w:szCs w:val="16"/>
          <w:lang w:val="fr-CA"/>
        </w:rPr>
        <w:t xml:space="preserve">obtienne </w:t>
      </w:r>
      <w:r w:rsidR="00280F12" w:rsidRPr="00E80C1E">
        <w:rPr>
          <w:szCs w:val="16"/>
          <w:lang w:val="fr-CA"/>
        </w:rPr>
        <w:t>le droit d’exiger un certain nombre d’inscriptions sur demande</w:t>
      </w:r>
      <w:r w:rsidRPr="00E80C1E">
        <w:rPr>
          <w:szCs w:val="16"/>
          <w:lang w:val="fr-CA"/>
        </w:rPr>
        <w:t xml:space="preserve">. </w:t>
      </w:r>
      <w:r w:rsidR="00280F12" w:rsidRPr="00E80C1E">
        <w:rPr>
          <w:szCs w:val="16"/>
          <w:lang w:val="fr-CA"/>
        </w:rPr>
        <w:t>Les Sociétés leur refuseront généralement ce droit en raison des coûts et du détournement des ressources de gestion que cela entraîne lorsque plusieurs groupes ont ce droit</w:t>
      </w:r>
      <w:r w:rsidRPr="00E80C1E">
        <w:rPr>
          <w:szCs w:val="16"/>
          <w:lang w:val="fr-CA"/>
        </w:rPr>
        <w:t>.</w:t>
      </w:r>
    </w:p>
  </w:footnote>
  <w:footnote w:id="15">
    <w:p w14:paraId="05F4BC17" w14:textId="1738360A"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280F12" w:rsidRPr="00E80C1E">
        <w:rPr>
          <w:szCs w:val="16"/>
          <w:lang w:val="fr-CA"/>
        </w:rPr>
        <w:t>La plupart des sociétés de technologie canadiennes s’introduisent en bourse au Canada</w:t>
      </w:r>
      <w:r w:rsidRPr="00E80C1E">
        <w:rPr>
          <w:szCs w:val="16"/>
          <w:lang w:val="fr-CA"/>
        </w:rPr>
        <w:t xml:space="preserve">. </w:t>
      </w:r>
      <w:r w:rsidR="00280F12" w:rsidRPr="00E80C1E">
        <w:rPr>
          <w:szCs w:val="16"/>
          <w:lang w:val="fr-CA"/>
        </w:rPr>
        <w:t xml:space="preserve">Toutefois, trois options </w:t>
      </w:r>
      <w:r w:rsidR="00130D94">
        <w:rPr>
          <w:szCs w:val="16"/>
          <w:lang w:val="fr-CA"/>
        </w:rPr>
        <w:t>s’offrent à elles</w:t>
      </w:r>
      <w:r w:rsidR="00280F12" w:rsidRPr="00E80C1E">
        <w:rPr>
          <w:szCs w:val="16"/>
          <w:lang w:val="fr-CA"/>
        </w:rPr>
        <w:t> </w:t>
      </w:r>
      <w:r w:rsidRPr="00E80C1E">
        <w:rPr>
          <w:szCs w:val="16"/>
          <w:lang w:val="fr-CA"/>
        </w:rPr>
        <w:t xml:space="preserve">: </w:t>
      </w:r>
      <w:r w:rsidRPr="00986BEB">
        <w:rPr>
          <w:szCs w:val="16"/>
          <w:lang w:val="fr-CA"/>
        </w:rPr>
        <w:t>a</w:t>
      </w:r>
      <w:r w:rsidRPr="00E80C1E">
        <w:rPr>
          <w:szCs w:val="16"/>
          <w:lang w:val="fr-CA"/>
        </w:rPr>
        <w:t>)</w:t>
      </w:r>
      <w:r w:rsidR="00280F12" w:rsidRPr="00E80C1E">
        <w:rPr>
          <w:szCs w:val="16"/>
          <w:lang w:val="fr-CA"/>
        </w:rPr>
        <w:t> </w:t>
      </w:r>
      <w:r w:rsidR="00130D94">
        <w:rPr>
          <w:szCs w:val="16"/>
          <w:lang w:val="fr-CA"/>
        </w:rPr>
        <w:t xml:space="preserve">le </w:t>
      </w:r>
      <w:r w:rsidRPr="00E80C1E">
        <w:rPr>
          <w:szCs w:val="16"/>
          <w:lang w:val="fr-CA"/>
        </w:rPr>
        <w:t xml:space="preserve">Canada </w:t>
      </w:r>
      <w:r w:rsidR="00280F12" w:rsidRPr="00E80C1E">
        <w:rPr>
          <w:szCs w:val="16"/>
          <w:lang w:val="fr-CA"/>
        </w:rPr>
        <w:t>seulement</w:t>
      </w:r>
      <w:r w:rsidRPr="00E80C1E">
        <w:rPr>
          <w:szCs w:val="16"/>
          <w:lang w:val="fr-CA"/>
        </w:rPr>
        <w:t xml:space="preserve">, </w:t>
      </w:r>
      <w:r w:rsidRPr="00986BEB">
        <w:rPr>
          <w:szCs w:val="16"/>
          <w:lang w:val="fr-CA"/>
        </w:rPr>
        <w:t>b</w:t>
      </w:r>
      <w:r w:rsidRPr="00E80C1E">
        <w:rPr>
          <w:szCs w:val="16"/>
          <w:lang w:val="fr-CA"/>
        </w:rPr>
        <w:t>)</w:t>
      </w:r>
      <w:r w:rsidR="00280F12" w:rsidRPr="00E80C1E">
        <w:rPr>
          <w:szCs w:val="16"/>
          <w:lang w:val="fr-CA"/>
        </w:rPr>
        <w:t> </w:t>
      </w:r>
      <w:r w:rsidR="00130D94">
        <w:rPr>
          <w:szCs w:val="16"/>
          <w:lang w:val="fr-CA"/>
        </w:rPr>
        <w:t xml:space="preserve">les </w:t>
      </w:r>
      <w:r w:rsidR="00280F12" w:rsidRPr="00E80C1E">
        <w:rPr>
          <w:szCs w:val="16"/>
          <w:lang w:val="fr-CA"/>
        </w:rPr>
        <w:t xml:space="preserve">États-Unis seulement ou </w:t>
      </w:r>
      <w:r w:rsidRPr="00986BEB">
        <w:rPr>
          <w:szCs w:val="16"/>
          <w:lang w:val="fr-CA"/>
        </w:rPr>
        <w:t>c</w:t>
      </w:r>
      <w:r w:rsidRPr="00E80C1E">
        <w:rPr>
          <w:szCs w:val="16"/>
          <w:lang w:val="fr-CA"/>
        </w:rPr>
        <w:t>)</w:t>
      </w:r>
      <w:r w:rsidR="00280F12" w:rsidRPr="00E80C1E">
        <w:rPr>
          <w:szCs w:val="16"/>
          <w:lang w:val="fr-CA"/>
        </w:rPr>
        <w:t> </w:t>
      </w:r>
      <w:r w:rsidR="00130D94">
        <w:rPr>
          <w:szCs w:val="16"/>
          <w:lang w:val="fr-CA"/>
        </w:rPr>
        <w:t xml:space="preserve">le </w:t>
      </w:r>
      <w:r w:rsidR="00280F12" w:rsidRPr="00E80C1E">
        <w:rPr>
          <w:szCs w:val="16"/>
          <w:lang w:val="fr-CA"/>
        </w:rPr>
        <w:t xml:space="preserve">Canada et </w:t>
      </w:r>
      <w:r w:rsidR="00130D94">
        <w:rPr>
          <w:szCs w:val="16"/>
          <w:lang w:val="fr-CA"/>
        </w:rPr>
        <w:t xml:space="preserve">les </w:t>
      </w:r>
      <w:r w:rsidR="00280F12" w:rsidRPr="00E80C1E">
        <w:rPr>
          <w:szCs w:val="16"/>
          <w:lang w:val="fr-CA"/>
        </w:rPr>
        <w:t>États-Unis</w:t>
      </w:r>
      <w:r w:rsidRPr="00E80C1E">
        <w:rPr>
          <w:szCs w:val="16"/>
          <w:lang w:val="fr-CA"/>
        </w:rPr>
        <w:t xml:space="preserve">. </w:t>
      </w:r>
      <w:r w:rsidR="00184638">
        <w:rPr>
          <w:szCs w:val="16"/>
          <w:lang w:val="fr-CA"/>
        </w:rPr>
        <w:t xml:space="preserve">Si </w:t>
      </w:r>
      <w:r w:rsidR="00184638" w:rsidRPr="00E80C1E">
        <w:rPr>
          <w:szCs w:val="16"/>
          <w:lang w:val="fr-CA"/>
        </w:rPr>
        <w:t xml:space="preserve">la Société s’est introduite en bourse </w:t>
      </w:r>
      <w:r w:rsidR="00184638">
        <w:rPr>
          <w:szCs w:val="16"/>
          <w:lang w:val="fr-CA"/>
        </w:rPr>
        <w:t>dans un seul pays, l</w:t>
      </w:r>
      <w:r w:rsidR="00280F12" w:rsidRPr="00E80C1E">
        <w:rPr>
          <w:szCs w:val="16"/>
          <w:lang w:val="fr-CA"/>
        </w:rPr>
        <w:t xml:space="preserve">’inscription présumée doit être effectuée dans </w:t>
      </w:r>
      <w:r w:rsidR="00184638">
        <w:rPr>
          <w:szCs w:val="16"/>
          <w:lang w:val="fr-CA"/>
        </w:rPr>
        <w:t xml:space="preserve">celui-ci. La </w:t>
      </w:r>
      <w:r w:rsidR="00280F12" w:rsidRPr="00E80C1E">
        <w:rPr>
          <w:szCs w:val="16"/>
          <w:lang w:val="fr-CA"/>
        </w:rPr>
        <w:t>Convention doit être modifiée pour tenir compte de cette éventualité si les circonstances le permettent</w:t>
      </w:r>
      <w:r w:rsidRPr="00E80C1E">
        <w:rPr>
          <w:szCs w:val="16"/>
          <w:lang w:val="fr-CA"/>
        </w:rPr>
        <w:t xml:space="preserve">. </w:t>
      </w:r>
      <w:r w:rsidR="00280F12" w:rsidRPr="009D4254">
        <w:rPr>
          <w:szCs w:val="16"/>
          <w:lang w:val="fr-CA"/>
        </w:rPr>
        <w:t>Voir le paragraphe </w:t>
      </w:r>
      <w:r w:rsidRPr="00986BEB">
        <w:rPr>
          <w:szCs w:val="16"/>
          <w:lang w:val="fr-CA"/>
        </w:rPr>
        <w:t>2.16</w:t>
      </w:r>
      <w:r w:rsidRPr="009D4254">
        <w:rPr>
          <w:szCs w:val="16"/>
          <w:lang w:val="fr-CA"/>
        </w:rPr>
        <w:t>.</w:t>
      </w:r>
    </w:p>
  </w:footnote>
  <w:footnote w:id="16">
    <w:p w14:paraId="18E07102" w14:textId="1987BE92"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280F12" w:rsidRPr="00E80C1E">
        <w:rPr>
          <w:szCs w:val="16"/>
          <w:lang w:val="fr-CA"/>
        </w:rPr>
        <w:t xml:space="preserve">Un seuil de déclenchement peut être négocié et peut varier entre vingt pour cent </w:t>
      </w:r>
      <w:r w:rsidRPr="00E80C1E">
        <w:rPr>
          <w:szCs w:val="16"/>
          <w:lang w:val="fr-CA"/>
        </w:rPr>
        <w:t>(</w:t>
      </w:r>
      <w:r w:rsidRPr="00986BEB">
        <w:rPr>
          <w:szCs w:val="16"/>
          <w:lang w:val="fr-CA"/>
        </w:rPr>
        <w:t>20</w:t>
      </w:r>
      <w:r w:rsidR="00280F12" w:rsidRPr="00E80C1E">
        <w:rPr>
          <w:szCs w:val="16"/>
          <w:lang w:val="fr-CA"/>
        </w:rPr>
        <w:t> </w:t>
      </w:r>
      <w:r w:rsidRPr="00E80C1E">
        <w:rPr>
          <w:szCs w:val="16"/>
          <w:lang w:val="fr-CA"/>
        </w:rPr>
        <w:t xml:space="preserve">%) </w:t>
      </w:r>
      <w:r w:rsidR="00280F12" w:rsidRPr="00E80C1E">
        <w:rPr>
          <w:szCs w:val="16"/>
          <w:lang w:val="fr-CA"/>
        </w:rPr>
        <w:t xml:space="preserve">et cent pour cent </w:t>
      </w:r>
      <w:r w:rsidRPr="00E80C1E">
        <w:rPr>
          <w:szCs w:val="16"/>
          <w:lang w:val="fr-CA"/>
        </w:rPr>
        <w:t>(</w:t>
      </w:r>
      <w:r w:rsidRPr="00986BEB">
        <w:rPr>
          <w:szCs w:val="16"/>
          <w:lang w:val="fr-CA"/>
        </w:rPr>
        <w:t>100</w:t>
      </w:r>
      <w:r w:rsidR="00280F12" w:rsidRPr="00E80C1E">
        <w:rPr>
          <w:szCs w:val="16"/>
          <w:lang w:val="fr-CA"/>
        </w:rPr>
        <w:t> </w:t>
      </w:r>
      <w:r w:rsidRPr="00E80C1E">
        <w:rPr>
          <w:szCs w:val="16"/>
          <w:lang w:val="fr-CA"/>
        </w:rPr>
        <w:t xml:space="preserve">%) </w:t>
      </w:r>
      <w:r w:rsidR="00280F12" w:rsidRPr="00E80C1E">
        <w:rPr>
          <w:szCs w:val="16"/>
          <w:lang w:val="fr-CA"/>
        </w:rPr>
        <w:t>du nombre total de Titres à inscrire</w:t>
      </w:r>
      <w:r w:rsidRPr="00E80C1E">
        <w:rPr>
          <w:szCs w:val="16"/>
          <w:lang w:val="fr-CA"/>
        </w:rPr>
        <w:t xml:space="preserve"> </w:t>
      </w:r>
      <w:r w:rsidR="00280F12" w:rsidRPr="00E80C1E">
        <w:rPr>
          <w:szCs w:val="16"/>
          <w:lang w:val="fr-CA"/>
        </w:rPr>
        <w:t>pour les inscriptions sur demande</w:t>
      </w:r>
      <w:r w:rsidRPr="00E80C1E">
        <w:rPr>
          <w:szCs w:val="16"/>
          <w:lang w:val="fr-CA"/>
        </w:rPr>
        <w:t xml:space="preserve">. </w:t>
      </w:r>
      <w:r w:rsidR="00280F12" w:rsidRPr="00E80C1E">
        <w:rPr>
          <w:szCs w:val="16"/>
          <w:lang w:val="fr-CA"/>
        </w:rPr>
        <w:t>Toutefois, certaines sociétés n’imposent pas de seuil et s’en remettent plutôt à la taille du placement minimal</w:t>
      </w:r>
      <w:r w:rsidRPr="00E80C1E">
        <w:rPr>
          <w:szCs w:val="16"/>
          <w:lang w:val="fr-CA"/>
        </w:rPr>
        <w:t>.</w:t>
      </w:r>
    </w:p>
  </w:footnote>
  <w:footnote w:id="17">
    <w:p w14:paraId="755C2B78" w14:textId="025642DB"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280F12" w:rsidRPr="00E80C1E">
        <w:rPr>
          <w:lang w:val="fr-CA"/>
        </w:rPr>
        <w:t>Compte tenu de la faible portée des droits</w:t>
      </w:r>
      <w:r w:rsidR="00EE2501">
        <w:rPr>
          <w:lang w:val="fr-CA"/>
        </w:rPr>
        <w:t xml:space="preserve"> d’inscription sur Formulaire</w:t>
      </w:r>
      <w:r w:rsidR="00280F12" w:rsidRPr="00E80C1E">
        <w:rPr>
          <w:lang w:val="fr-CA"/>
        </w:rPr>
        <w:t> </w:t>
      </w:r>
      <w:r w:rsidRPr="00E80C1E">
        <w:rPr>
          <w:lang w:val="fr-CA"/>
        </w:rPr>
        <w:t>S-</w:t>
      </w:r>
      <w:r w:rsidRPr="00986BEB">
        <w:rPr>
          <w:lang w:val="fr-CA"/>
        </w:rPr>
        <w:t>3</w:t>
      </w:r>
      <w:r w:rsidRPr="00E80C1E">
        <w:rPr>
          <w:lang w:val="fr-CA"/>
        </w:rPr>
        <w:t xml:space="preserve"> </w:t>
      </w:r>
      <w:r w:rsidR="00280F12" w:rsidRPr="00E80C1E">
        <w:rPr>
          <w:lang w:val="fr-CA"/>
        </w:rPr>
        <w:t xml:space="preserve">et de l’existence d’un seuil </w:t>
      </w:r>
      <w:r w:rsidR="001573B0">
        <w:rPr>
          <w:lang w:val="fr-CA"/>
        </w:rPr>
        <w:t>financier</w:t>
      </w:r>
      <w:r w:rsidR="00280F12" w:rsidRPr="00E80C1E">
        <w:rPr>
          <w:lang w:val="fr-CA"/>
        </w:rPr>
        <w:t>, on peut envisager de ne pas fixer de seuil en pourcentage</w:t>
      </w:r>
      <w:r w:rsidRPr="00E80C1E">
        <w:rPr>
          <w:lang w:val="fr-CA"/>
        </w:rPr>
        <w:t>.</w:t>
      </w:r>
    </w:p>
  </w:footnote>
  <w:footnote w:id="18">
    <w:p w14:paraId="6BFCA150" w14:textId="397ACEB4"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280F12" w:rsidRPr="00E80C1E">
        <w:rPr>
          <w:szCs w:val="16"/>
          <w:lang w:val="fr-CA"/>
        </w:rPr>
        <w:t>Cette disposition vise à permettre à la Société d’imposer une période d’« interdiction des opérations » pendant laquelle elle peut suspendre les inscriptions en raison du moment où se produisent certaines autres opérations  susceptibles d’avoir une incidence sur ses actions. Au lieu d’énumérer les situations précises et limitées dans lesquelles la Société peut suspendre</w:t>
      </w:r>
      <w:r w:rsidR="006A03F0">
        <w:rPr>
          <w:szCs w:val="16"/>
          <w:lang w:val="fr-CA"/>
        </w:rPr>
        <w:t xml:space="preserve"> les inscriptions</w:t>
      </w:r>
      <w:r w:rsidR="00280F12" w:rsidRPr="00E80C1E">
        <w:rPr>
          <w:szCs w:val="16"/>
          <w:lang w:val="fr-CA"/>
        </w:rPr>
        <w:t xml:space="preserve">, on </w:t>
      </w:r>
      <w:r w:rsidR="006A03F0">
        <w:rPr>
          <w:szCs w:val="16"/>
          <w:lang w:val="fr-CA"/>
        </w:rPr>
        <w:t xml:space="preserve">peut aussi </w:t>
      </w:r>
      <w:r w:rsidR="00280F12" w:rsidRPr="00E80C1E">
        <w:rPr>
          <w:szCs w:val="16"/>
          <w:lang w:val="fr-CA"/>
        </w:rPr>
        <w:t xml:space="preserve">opter pour </w:t>
      </w:r>
      <w:r w:rsidR="009B4DA2" w:rsidRPr="00E80C1E">
        <w:rPr>
          <w:szCs w:val="16"/>
          <w:lang w:val="fr-CA"/>
        </w:rPr>
        <w:t xml:space="preserve">une formulation </w:t>
      </w:r>
      <w:r w:rsidR="00280F12" w:rsidRPr="00E80C1E">
        <w:rPr>
          <w:szCs w:val="16"/>
          <w:lang w:val="fr-CA"/>
        </w:rPr>
        <w:t>plus générale et plus favorable à la Société</w:t>
      </w:r>
      <w:r w:rsidR="009B4DA2" w:rsidRPr="00E80C1E">
        <w:rPr>
          <w:szCs w:val="16"/>
          <w:lang w:val="fr-CA"/>
        </w:rPr>
        <w:t xml:space="preserve">, </w:t>
      </w:r>
      <w:r w:rsidR="006A03F0">
        <w:rPr>
          <w:szCs w:val="16"/>
          <w:lang w:val="fr-CA"/>
        </w:rPr>
        <w:t>à savoir</w:t>
      </w:r>
      <w:r w:rsidR="009B4DA2" w:rsidRPr="00E80C1E">
        <w:rPr>
          <w:szCs w:val="16"/>
          <w:lang w:val="fr-CA"/>
        </w:rPr>
        <w:t> </w:t>
      </w:r>
      <w:r w:rsidRPr="00E80C1E">
        <w:rPr>
          <w:szCs w:val="16"/>
          <w:lang w:val="fr-CA"/>
        </w:rPr>
        <w:t>: « </w:t>
      </w:r>
      <w:r w:rsidR="009B4DA2" w:rsidRPr="00E80C1E">
        <w:rPr>
          <w:szCs w:val="16"/>
          <w:lang w:val="fr-CA"/>
        </w:rPr>
        <w:t>il serait gravement préjudiciable à la Société et à ses actionnaires que cette déclaration d’inscription soit déposée et il est donc nécessaire d’en reporter le dépôt »</w:t>
      </w:r>
      <w:r w:rsidRPr="00E80C1E">
        <w:rPr>
          <w:szCs w:val="16"/>
          <w:lang w:val="fr-CA"/>
        </w:rPr>
        <w:t>.</w:t>
      </w:r>
    </w:p>
  </w:footnote>
  <w:footnote w:id="19">
    <w:p w14:paraId="55C56AAE" w14:textId="26AE4190"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A04A7C" w:rsidRPr="00E80C1E">
        <w:rPr>
          <w:szCs w:val="16"/>
          <w:lang w:val="fr-CA"/>
        </w:rPr>
        <w:t xml:space="preserve">Le droit de recourir à une </w:t>
      </w:r>
      <w:r w:rsidR="00330C20">
        <w:rPr>
          <w:szCs w:val="16"/>
          <w:lang w:val="fr-CA"/>
        </w:rPr>
        <w:t>période d’</w:t>
      </w:r>
      <w:r w:rsidR="00A04A7C" w:rsidRPr="00E80C1E">
        <w:rPr>
          <w:szCs w:val="16"/>
          <w:lang w:val="fr-CA"/>
        </w:rPr>
        <w:t>interdiction des opérations est souvent limité à une fois par période de douze (</w:t>
      </w:r>
      <w:r w:rsidR="00A04A7C" w:rsidRPr="00986BEB">
        <w:rPr>
          <w:szCs w:val="16"/>
          <w:lang w:val="fr-CA"/>
        </w:rPr>
        <w:t>12</w:t>
      </w:r>
      <w:r w:rsidR="00A04A7C" w:rsidRPr="00E80C1E">
        <w:rPr>
          <w:szCs w:val="16"/>
          <w:lang w:val="fr-CA"/>
        </w:rPr>
        <w:t>) mois</w:t>
      </w:r>
      <w:r w:rsidRPr="00E80C1E">
        <w:rPr>
          <w:szCs w:val="16"/>
          <w:lang w:val="fr-CA"/>
        </w:rPr>
        <w:t xml:space="preserve">. </w:t>
      </w:r>
      <w:r w:rsidR="00A04A7C" w:rsidRPr="00E80C1E">
        <w:rPr>
          <w:szCs w:val="16"/>
          <w:lang w:val="fr-CA"/>
        </w:rPr>
        <w:t>Certaines sociétés peuvent y recourir deux fois par période de douze </w:t>
      </w:r>
      <w:r w:rsidRPr="00E80C1E">
        <w:rPr>
          <w:szCs w:val="16"/>
          <w:lang w:val="fr-CA"/>
        </w:rPr>
        <w:t>(</w:t>
      </w:r>
      <w:r w:rsidRPr="00986BEB">
        <w:rPr>
          <w:szCs w:val="16"/>
          <w:lang w:val="fr-CA"/>
        </w:rPr>
        <w:t>12</w:t>
      </w:r>
      <w:r w:rsidRPr="00E80C1E">
        <w:rPr>
          <w:szCs w:val="16"/>
          <w:lang w:val="fr-CA"/>
        </w:rPr>
        <w:t>)</w:t>
      </w:r>
      <w:r w:rsidR="00A04A7C" w:rsidRPr="00E80C1E">
        <w:rPr>
          <w:szCs w:val="16"/>
          <w:lang w:val="fr-CA"/>
        </w:rPr>
        <w:t xml:space="preserve"> mois ou une fois par inscription, mais les investisseurs </w:t>
      </w:r>
      <w:r w:rsidR="009E117D">
        <w:rPr>
          <w:szCs w:val="16"/>
          <w:lang w:val="fr-CA"/>
        </w:rPr>
        <w:t xml:space="preserve">considèrent </w:t>
      </w:r>
      <w:r w:rsidR="00A04A7C" w:rsidRPr="00E80C1E">
        <w:rPr>
          <w:szCs w:val="16"/>
          <w:lang w:val="fr-CA"/>
        </w:rPr>
        <w:t xml:space="preserve">habituellement cette pratique </w:t>
      </w:r>
      <w:r w:rsidR="009E117D">
        <w:rPr>
          <w:szCs w:val="16"/>
          <w:lang w:val="fr-CA"/>
        </w:rPr>
        <w:t xml:space="preserve">comme </w:t>
      </w:r>
      <w:r w:rsidR="00A04A7C" w:rsidRPr="00E80C1E">
        <w:rPr>
          <w:szCs w:val="16"/>
          <w:lang w:val="fr-CA"/>
        </w:rPr>
        <w:t xml:space="preserve">trop restrictive </w:t>
      </w:r>
      <w:r w:rsidRPr="00E80C1E">
        <w:rPr>
          <w:szCs w:val="16"/>
          <w:lang w:val="fr-CA"/>
        </w:rPr>
        <w:t>(</w:t>
      </w:r>
      <w:r w:rsidR="00A04A7C" w:rsidRPr="00E80C1E">
        <w:rPr>
          <w:szCs w:val="16"/>
          <w:lang w:val="fr-CA"/>
        </w:rPr>
        <w:t xml:space="preserve">surtout lorsqu’elle est combinée à </w:t>
      </w:r>
      <w:r w:rsidR="00330C20">
        <w:rPr>
          <w:szCs w:val="16"/>
          <w:lang w:val="fr-CA"/>
        </w:rPr>
        <w:t>la</w:t>
      </w:r>
      <w:r w:rsidR="00A04A7C" w:rsidRPr="00E80C1E">
        <w:rPr>
          <w:szCs w:val="16"/>
          <w:lang w:val="fr-CA"/>
        </w:rPr>
        <w:t xml:space="preserve"> période de report des inscriptions de la Société et à la période de blocage</w:t>
      </w:r>
      <w:r w:rsidRPr="00E80C1E">
        <w:rPr>
          <w:szCs w:val="16"/>
          <w:lang w:val="fr-CA"/>
        </w:rPr>
        <w:t xml:space="preserve">). </w:t>
      </w:r>
      <w:r w:rsidR="00A04A7C" w:rsidRPr="00E80C1E">
        <w:rPr>
          <w:szCs w:val="16"/>
          <w:lang w:val="fr-CA"/>
        </w:rPr>
        <w:t>Il est fréquent de permettre une période d’interdiction des opérations d’au plus cent vingt </w:t>
      </w:r>
      <w:r w:rsidRPr="00E80C1E">
        <w:rPr>
          <w:szCs w:val="16"/>
          <w:lang w:val="fr-CA"/>
        </w:rPr>
        <w:t>(</w:t>
      </w:r>
      <w:r w:rsidRPr="00986BEB">
        <w:rPr>
          <w:szCs w:val="16"/>
          <w:lang w:val="fr-CA"/>
        </w:rPr>
        <w:t>120</w:t>
      </w:r>
      <w:r w:rsidRPr="00E80C1E">
        <w:rPr>
          <w:szCs w:val="16"/>
          <w:lang w:val="fr-CA"/>
        </w:rPr>
        <w:t>)</w:t>
      </w:r>
      <w:r w:rsidR="00A04A7C" w:rsidRPr="00E80C1E">
        <w:rPr>
          <w:szCs w:val="16"/>
          <w:lang w:val="fr-CA"/>
        </w:rPr>
        <w:t> jours au cours d’une période de douze </w:t>
      </w:r>
      <w:r w:rsidRPr="00E80C1E">
        <w:rPr>
          <w:szCs w:val="16"/>
          <w:lang w:val="fr-CA"/>
        </w:rPr>
        <w:t>(</w:t>
      </w:r>
      <w:r w:rsidRPr="00986BEB">
        <w:rPr>
          <w:szCs w:val="16"/>
          <w:lang w:val="fr-CA"/>
        </w:rPr>
        <w:t>12</w:t>
      </w:r>
      <w:r w:rsidRPr="00E80C1E">
        <w:rPr>
          <w:szCs w:val="16"/>
          <w:lang w:val="fr-CA"/>
        </w:rPr>
        <w:t>)</w:t>
      </w:r>
      <w:r w:rsidR="00A04A7C" w:rsidRPr="00E80C1E">
        <w:rPr>
          <w:szCs w:val="16"/>
          <w:lang w:val="fr-CA"/>
        </w:rPr>
        <w:t> mois</w:t>
      </w:r>
      <w:r w:rsidRPr="00E80C1E">
        <w:rPr>
          <w:szCs w:val="16"/>
          <w:lang w:val="fr-CA"/>
        </w:rPr>
        <w:t xml:space="preserve">. </w:t>
      </w:r>
      <w:r w:rsidR="00A04A7C" w:rsidRPr="00E80C1E">
        <w:rPr>
          <w:szCs w:val="16"/>
          <w:lang w:val="fr-CA"/>
        </w:rPr>
        <w:t>Toutefois, la pratique consistant à permettre plutôt deux périodes d’interdiction de soixante (</w:t>
      </w:r>
      <w:r w:rsidR="00A04A7C" w:rsidRPr="00986BEB">
        <w:rPr>
          <w:szCs w:val="16"/>
          <w:lang w:val="fr-CA"/>
        </w:rPr>
        <w:t>60</w:t>
      </w:r>
      <w:r w:rsidR="00A04A7C" w:rsidRPr="00E80C1E">
        <w:rPr>
          <w:szCs w:val="16"/>
          <w:lang w:val="fr-CA"/>
        </w:rPr>
        <w:t>) jours par période de douze (</w:t>
      </w:r>
      <w:r w:rsidR="00A04A7C" w:rsidRPr="00986BEB">
        <w:rPr>
          <w:szCs w:val="16"/>
          <w:lang w:val="fr-CA"/>
        </w:rPr>
        <w:t>12</w:t>
      </w:r>
      <w:r w:rsidR="00A04A7C" w:rsidRPr="00E80C1E">
        <w:rPr>
          <w:szCs w:val="16"/>
          <w:lang w:val="fr-CA"/>
        </w:rPr>
        <w:t>) mois, que la Société peut combiner au besoin pour imposer un</w:t>
      </w:r>
      <w:r w:rsidR="00330C20">
        <w:rPr>
          <w:szCs w:val="16"/>
          <w:lang w:val="fr-CA"/>
        </w:rPr>
        <w:t xml:space="preserve"> </w:t>
      </w:r>
      <w:r w:rsidR="00A04A7C" w:rsidRPr="00E80C1E">
        <w:rPr>
          <w:szCs w:val="16"/>
          <w:lang w:val="fr-CA"/>
        </w:rPr>
        <w:t>total de cent vingt (</w:t>
      </w:r>
      <w:r w:rsidR="00A04A7C" w:rsidRPr="00986BEB">
        <w:rPr>
          <w:szCs w:val="16"/>
          <w:lang w:val="fr-CA"/>
        </w:rPr>
        <w:t>120</w:t>
      </w:r>
      <w:r w:rsidR="003642B7">
        <w:rPr>
          <w:szCs w:val="16"/>
          <w:lang w:val="fr-CA"/>
        </w:rPr>
        <w:t>)</w:t>
      </w:r>
      <w:r w:rsidR="00A04A7C" w:rsidRPr="00E80C1E">
        <w:rPr>
          <w:szCs w:val="16"/>
          <w:lang w:val="fr-CA"/>
        </w:rPr>
        <w:t xml:space="preserve"> jours, offre une plus grande souplesse à la Société et peut aussi </w:t>
      </w:r>
      <w:r w:rsidR="00330C20">
        <w:rPr>
          <w:szCs w:val="16"/>
          <w:lang w:val="fr-CA"/>
        </w:rPr>
        <w:t xml:space="preserve">s’avérer </w:t>
      </w:r>
      <w:r w:rsidR="00A04A7C" w:rsidRPr="00E80C1E">
        <w:rPr>
          <w:szCs w:val="16"/>
          <w:lang w:val="fr-CA"/>
        </w:rPr>
        <w:t xml:space="preserve">plus avantageuse pour les </w:t>
      </w:r>
      <w:r w:rsidRPr="00E80C1E">
        <w:rPr>
          <w:szCs w:val="16"/>
          <w:lang w:val="fr-CA"/>
        </w:rPr>
        <w:t>investisseurs.</w:t>
      </w:r>
    </w:p>
  </w:footnote>
  <w:footnote w:id="20">
    <w:p w14:paraId="119A6F5A" w14:textId="5BDCF50F" w:rsidR="00BC1FC7" w:rsidRPr="00E80C1E" w:rsidRDefault="000B08F2">
      <w:pPr>
        <w:pStyle w:val="FootnoteText"/>
        <w:rPr>
          <w:lang w:val="fr-CA"/>
        </w:rPr>
      </w:pPr>
      <w:r w:rsidRPr="00986BEB">
        <w:rPr>
          <w:rStyle w:val="FootnoteReference"/>
          <w:lang w:val="fr-CA"/>
        </w:rPr>
        <w:footnoteRef/>
      </w:r>
      <w:r w:rsidRPr="00354D83">
        <w:rPr>
          <w:lang w:val="fr-CA"/>
        </w:rPr>
        <w:t xml:space="preserve"> Note</w:t>
      </w:r>
      <w:r w:rsidR="00A04A7C" w:rsidRPr="00354D83">
        <w:rPr>
          <w:lang w:val="fr-CA"/>
        </w:rPr>
        <w:t>z que</w:t>
      </w:r>
      <w:r w:rsidRPr="00354D83">
        <w:rPr>
          <w:lang w:val="fr-CA"/>
        </w:rPr>
        <w:t xml:space="preserve"> </w:t>
      </w:r>
      <w:r w:rsidR="00662997">
        <w:rPr>
          <w:lang w:val="fr-CA"/>
        </w:rPr>
        <w:t>cette</w:t>
      </w:r>
      <w:r w:rsidR="00A04A7C" w:rsidRPr="00354D83">
        <w:rPr>
          <w:lang w:val="fr-CA"/>
        </w:rPr>
        <w:t xml:space="preserve"> variante</w:t>
      </w:r>
      <w:r w:rsidR="00662997">
        <w:rPr>
          <w:lang w:val="fr-CA"/>
        </w:rPr>
        <w:t xml:space="preserve"> </w:t>
      </w:r>
      <w:r w:rsidR="00E13649">
        <w:rPr>
          <w:lang w:val="fr-CA"/>
        </w:rPr>
        <w:t>qui prévoit des exceptions</w:t>
      </w:r>
      <w:r w:rsidR="00A04A7C" w:rsidRPr="00354D83">
        <w:rPr>
          <w:lang w:val="fr-CA"/>
        </w:rPr>
        <w:t xml:space="preserve"> à la limitation du droit de la Société d’inscrire des titres pour son propre compte pendant une période d’interdiction des opérations </w:t>
      </w:r>
      <w:r w:rsidR="00E13649">
        <w:rPr>
          <w:lang w:val="fr-CA"/>
        </w:rPr>
        <w:t xml:space="preserve">n’inclut pas d’exception pour </w:t>
      </w:r>
      <w:r w:rsidR="00A04A7C" w:rsidRPr="00354D83">
        <w:rPr>
          <w:lang w:val="fr-CA"/>
        </w:rPr>
        <w:t>une inscription relative à une opération</w:t>
      </w:r>
      <w:r w:rsidR="002D3DAC" w:rsidRPr="00354D83">
        <w:rPr>
          <w:lang w:val="fr-CA"/>
        </w:rPr>
        <w:t xml:space="preserve"> visée par </w:t>
      </w:r>
      <w:r w:rsidR="00A04A7C" w:rsidRPr="00354D83">
        <w:rPr>
          <w:lang w:val="fr-CA"/>
        </w:rPr>
        <w:t>la Règle</w:t>
      </w:r>
      <w:bookmarkStart w:id="100" w:name="DocXTextRef58"/>
      <w:r w:rsidR="00A04A7C" w:rsidRPr="00354D83">
        <w:rPr>
          <w:lang w:val="fr-CA"/>
        </w:rPr>
        <w:t> </w:t>
      </w:r>
      <w:r w:rsidRPr="00986BEB">
        <w:rPr>
          <w:lang w:val="fr-CA"/>
        </w:rPr>
        <w:t>145</w:t>
      </w:r>
      <w:bookmarkEnd w:id="100"/>
      <w:r w:rsidRPr="00354D83">
        <w:rPr>
          <w:lang w:val="fr-CA"/>
        </w:rPr>
        <w:t xml:space="preserve"> </w:t>
      </w:r>
      <w:r w:rsidR="00A04A7C" w:rsidRPr="00354D83">
        <w:rPr>
          <w:lang w:val="fr-CA"/>
        </w:rPr>
        <w:t>de la SEC</w:t>
      </w:r>
      <w:r w:rsidRPr="00354D83">
        <w:rPr>
          <w:lang w:val="fr-CA"/>
        </w:rPr>
        <w:t xml:space="preserve">. </w:t>
      </w:r>
      <w:r w:rsidR="00A04A7C" w:rsidRPr="00354D83">
        <w:rPr>
          <w:lang w:val="fr-CA"/>
        </w:rPr>
        <w:t xml:space="preserve">Du point de vue des </w:t>
      </w:r>
      <w:r w:rsidRPr="00354D83">
        <w:rPr>
          <w:lang w:val="fr-CA"/>
        </w:rPr>
        <w:t>investisseurs</w:t>
      </w:r>
      <w:r w:rsidR="00A04A7C" w:rsidRPr="00354D83">
        <w:rPr>
          <w:lang w:val="fr-CA"/>
        </w:rPr>
        <w:t xml:space="preserve">, bien qu’il puisse être acceptable que la Société reporte une inscription à des fins de revente dans les circonstances prévues dans cette </w:t>
      </w:r>
      <w:r w:rsidR="00354D83">
        <w:rPr>
          <w:lang w:val="fr-CA"/>
        </w:rPr>
        <w:t>disposition</w:t>
      </w:r>
      <w:r w:rsidR="00A04A7C" w:rsidRPr="00354D83">
        <w:rPr>
          <w:lang w:val="fr-CA"/>
        </w:rPr>
        <w:t xml:space="preserve">, ces circonstances ne devraient pas permettre à la </w:t>
      </w:r>
      <w:r w:rsidRPr="00354D83">
        <w:rPr>
          <w:lang w:val="fr-CA"/>
        </w:rPr>
        <w:t xml:space="preserve">Société </w:t>
      </w:r>
      <w:r w:rsidR="00A04A7C" w:rsidRPr="00354D83">
        <w:rPr>
          <w:lang w:val="fr-CA"/>
        </w:rPr>
        <w:t>de déposer, p. ex., un Formulaire </w:t>
      </w:r>
      <w:r w:rsidRPr="00354D83">
        <w:rPr>
          <w:lang w:val="fr-CA"/>
        </w:rPr>
        <w:t>S-</w:t>
      </w:r>
      <w:r w:rsidRPr="00986BEB">
        <w:rPr>
          <w:lang w:val="fr-CA"/>
        </w:rPr>
        <w:t>4</w:t>
      </w:r>
      <w:r w:rsidRPr="00354D83">
        <w:rPr>
          <w:lang w:val="fr-CA"/>
        </w:rPr>
        <w:t xml:space="preserve"> </w:t>
      </w:r>
      <w:r w:rsidR="00A04A7C" w:rsidRPr="00354D83">
        <w:rPr>
          <w:lang w:val="fr-CA"/>
        </w:rPr>
        <w:t xml:space="preserve">à l’égard d’une opération </w:t>
      </w:r>
      <w:r w:rsidR="002D3DAC" w:rsidRPr="00354D83">
        <w:rPr>
          <w:lang w:val="fr-CA"/>
        </w:rPr>
        <w:t xml:space="preserve">visée par </w:t>
      </w:r>
      <w:r w:rsidR="00A04A7C" w:rsidRPr="00354D83">
        <w:rPr>
          <w:lang w:val="fr-CA"/>
        </w:rPr>
        <w:t>la Règle</w:t>
      </w:r>
      <w:bookmarkStart w:id="101" w:name="DocXTextRef59"/>
      <w:r w:rsidR="00A04A7C" w:rsidRPr="00354D83">
        <w:rPr>
          <w:lang w:val="fr-CA"/>
        </w:rPr>
        <w:t> </w:t>
      </w:r>
      <w:r w:rsidRPr="00986BEB">
        <w:rPr>
          <w:lang w:val="fr-CA"/>
        </w:rPr>
        <w:t>145</w:t>
      </w:r>
      <w:bookmarkEnd w:id="101"/>
      <w:r w:rsidR="00A04A7C" w:rsidRPr="00354D83">
        <w:rPr>
          <w:lang w:val="fr-CA"/>
        </w:rPr>
        <w:t xml:space="preserve"> en priorité sur une inscription demandée par les Porteurs de </w:t>
      </w:r>
      <w:r w:rsidR="00280F12" w:rsidRPr="00354D83">
        <w:rPr>
          <w:lang w:val="fr-CA"/>
        </w:rPr>
        <w:t>Titres à inscrire</w:t>
      </w:r>
      <w:r w:rsidRPr="00354D83">
        <w:rPr>
          <w:lang w:val="fr-CA"/>
        </w:rPr>
        <w:t xml:space="preserve">. </w:t>
      </w:r>
      <w:r w:rsidR="00A04A7C" w:rsidRPr="00354D83">
        <w:rPr>
          <w:lang w:val="fr-CA"/>
        </w:rPr>
        <w:t xml:space="preserve">Toutefois, du point de vue de la </w:t>
      </w:r>
      <w:r w:rsidRPr="00354D83">
        <w:rPr>
          <w:lang w:val="fr-CA"/>
        </w:rPr>
        <w:t>Société</w:t>
      </w:r>
      <w:r w:rsidR="00A04A7C" w:rsidRPr="00354D83">
        <w:rPr>
          <w:lang w:val="fr-CA"/>
        </w:rPr>
        <w:t>, l’incapacité de déposer le Formulaire </w:t>
      </w:r>
      <w:r w:rsidRPr="00354D83">
        <w:rPr>
          <w:lang w:val="fr-CA"/>
        </w:rPr>
        <w:t>S-</w:t>
      </w:r>
      <w:r w:rsidRPr="00986BEB">
        <w:rPr>
          <w:lang w:val="fr-CA"/>
        </w:rPr>
        <w:t>4</w:t>
      </w:r>
      <w:r w:rsidRPr="00354D83">
        <w:rPr>
          <w:lang w:val="fr-CA"/>
        </w:rPr>
        <w:t xml:space="preserve"> </w:t>
      </w:r>
      <w:r w:rsidR="00A04A7C" w:rsidRPr="00354D83">
        <w:rPr>
          <w:lang w:val="fr-CA"/>
        </w:rPr>
        <w:t>pourrait constituer un obstacle à une acquisition</w:t>
      </w:r>
      <w:r w:rsidRPr="00354D83">
        <w:rPr>
          <w:lang w:val="fr-CA"/>
        </w:rPr>
        <w:t>.</w:t>
      </w:r>
    </w:p>
  </w:footnote>
  <w:footnote w:id="21">
    <w:p w14:paraId="6CAE96E0" w14:textId="452590DD"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B01EC3" w:rsidRPr="00E80C1E">
        <w:rPr>
          <w:szCs w:val="16"/>
          <w:lang w:val="fr-CA"/>
        </w:rPr>
        <w:t>Cette disposition est souvent désignée comme le droit de réduction des preneurs fermes</w:t>
      </w:r>
      <w:r w:rsidR="001F7C54">
        <w:rPr>
          <w:szCs w:val="16"/>
          <w:lang w:val="fr-CA"/>
        </w:rPr>
        <w:t xml:space="preserve"> (</w:t>
      </w:r>
      <w:r w:rsidR="001F7C54" w:rsidRPr="001F7C54">
        <w:rPr>
          <w:i/>
          <w:iCs/>
          <w:szCs w:val="16"/>
          <w:lang w:val="fr-CA"/>
        </w:rPr>
        <w:t>underwriter cutback</w:t>
      </w:r>
      <w:r w:rsidR="001F7C54">
        <w:rPr>
          <w:szCs w:val="16"/>
          <w:lang w:val="fr-CA"/>
        </w:rPr>
        <w:t>)</w:t>
      </w:r>
      <w:r w:rsidRPr="00E80C1E">
        <w:rPr>
          <w:szCs w:val="16"/>
          <w:lang w:val="fr-CA"/>
        </w:rPr>
        <w:t xml:space="preserve">. </w:t>
      </w:r>
      <w:r w:rsidR="00B01EC3" w:rsidRPr="00E80C1E">
        <w:rPr>
          <w:szCs w:val="16"/>
          <w:lang w:val="fr-CA"/>
        </w:rPr>
        <w:t xml:space="preserve">Dans certains placements, un preneur ferme peut juger qu’il sera en mesure de commercialiser avec succès seulement un certain nombre de titres et </w:t>
      </w:r>
      <w:r w:rsidR="001F7C54">
        <w:rPr>
          <w:szCs w:val="16"/>
          <w:lang w:val="fr-CA"/>
        </w:rPr>
        <w:t xml:space="preserve">qu’il </w:t>
      </w:r>
      <w:r w:rsidR="00B01EC3" w:rsidRPr="00E80C1E">
        <w:rPr>
          <w:szCs w:val="16"/>
          <w:lang w:val="fr-CA"/>
        </w:rPr>
        <w:t>doit donc réduire le nombre total de titres inscrits</w:t>
      </w:r>
      <w:r w:rsidRPr="00E80C1E">
        <w:rPr>
          <w:szCs w:val="16"/>
          <w:lang w:val="fr-CA"/>
        </w:rPr>
        <w:t xml:space="preserve">. </w:t>
      </w:r>
      <w:r w:rsidR="00B01EC3" w:rsidRPr="00E80C1E">
        <w:rPr>
          <w:szCs w:val="16"/>
          <w:lang w:val="fr-CA"/>
        </w:rPr>
        <w:t xml:space="preserve">En pareil cas, les porteurs de </w:t>
      </w:r>
      <w:r w:rsidR="00280F12" w:rsidRPr="00E80C1E">
        <w:rPr>
          <w:szCs w:val="16"/>
          <w:lang w:val="fr-CA"/>
        </w:rPr>
        <w:t>Titres à inscrire</w:t>
      </w:r>
      <w:r w:rsidRPr="00E80C1E">
        <w:rPr>
          <w:szCs w:val="16"/>
          <w:lang w:val="fr-CA"/>
        </w:rPr>
        <w:t xml:space="preserve"> </w:t>
      </w:r>
      <w:r w:rsidR="00B01EC3" w:rsidRPr="00E80C1E">
        <w:rPr>
          <w:szCs w:val="16"/>
          <w:lang w:val="fr-CA"/>
        </w:rPr>
        <w:t xml:space="preserve">ont généralement le droit d’inclure leurs actions avant toute autre personne </w:t>
      </w:r>
      <w:r w:rsidRPr="00E80C1E">
        <w:rPr>
          <w:szCs w:val="16"/>
          <w:lang w:val="fr-CA"/>
        </w:rPr>
        <w:t>(</w:t>
      </w:r>
      <w:r w:rsidR="00B01EC3" w:rsidRPr="00E80C1E">
        <w:rPr>
          <w:szCs w:val="16"/>
          <w:lang w:val="fr-CA"/>
        </w:rPr>
        <w:t xml:space="preserve">il </w:t>
      </w:r>
      <w:r w:rsidR="00F528C1">
        <w:rPr>
          <w:szCs w:val="16"/>
          <w:lang w:val="fr-CA"/>
        </w:rPr>
        <w:t>est possible que d</w:t>
      </w:r>
      <w:r w:rsidR="00B01EC3" w:rsidRPr="00E80C1E">
        <w:rPr>
          <w:szCs w:val="16"/>
          <w:lang w:val="fr-CA"/>
        </w:rPr>
        <w:t xml:space="preserve">es catégories plus récentes </w:t>
      </w:r>
      <w:r w:rsidR="00F528C1">
        <w:rPr>
          <w:szCs w:val="16"/>
          <w:lang w:val="fr-CA"/>
        </w:rPr>
        <w:t>demandent</w:t>
      </w:r>
      <w:r w:rsidR="00B01EC3" w:rsidRPr="00E80C1E">
        <w:rPr>
          <w:szCs w:val="16"/>
          <w:lang w:val="fr-CA"/>
        </w:rPr>
        <w:t xml:space="preserve"> la priorité sur </w:t>
      </w:r>
      <w:r w:rsidR="00F528C1">
        <w:rPr>
          <w:szCs w:val="16"/>
          <w:lang w:val="fr-CA"/>
        </w:rPr>
        <w:t>d</w:t>
      </w:r>
      <w:r w:rsidR="00B01EC3" w:rsidRPr="00E80C1E">
        <w:rPr>
          <w:szCs w:val="16"/>
          <w:lang w:val="fr-CA"/>
        </w:rPr>
        <w:t>es catégories plus anciennes</w:t>
      </w:r>
      <w:r w:rsidRPr="00E80C1E">
        <w:rPr>
          <w:szCs w:val="16"/>
          <w:lang w:val="fr-CA"/>
        </w:rPr>
        <w:t xml:space="preserve">). </w:t>
      </w:r>
      <w:r w:rsidR="00B01EC3" w:rsidRPr="00E80C1E">
        <w:rPr>
          <w:szCs w:val="16"/>
          <w:lang w:val="fr-CA"/>
        </w:rPr>
        <w:t>S’il n’y a pas assez de place pour tous ces porteurs</w:t>
      </w:r>
      <w:r w:rsidRPr="00E80C1E">
        <w:rPr>
          <w:szCs w:val="16"/>
          <w:lang w:val="fr-CA"/>
        </w:rPr>
        <w:t xml:space="preserve">, </w:t>
      </w:r>
      <w:r w:rsidR="00B01EC3" w:rsidRPr="00E80C1E">
        <w:rPr>
          <w:szCs w:val="16"/>
          <w:lang w:val="fr-CA"/>
        </w:rPr>
        <w:t xml:space="preserve">la réduction doit être répartie proportionnellement </w:t>
      </w:r>
      <w:r w:rsidR="007F03EA">
        <w:rPr>
          <w:szCs w:val="16"/>
          <w:lang w:val="fr-CA"/>
        </w:rPr>
        <w:t>en fonction des</w:t>
      </w:r>
      <w:r w:rsidR="00B01EC3" w:rsidRPr="00E80C1E">
        <w:rPr>
          <w:szCs w:val="16"/>
          <w:lang w:val="fr-CA"/>
        </w:rPr>
        <w:t xml:space="preserve"> actions </w:t>
      </w:r>
      <w:r w:rsidR="00265316">
        <w:rPr>
          <w:szCs w:val="16"/>
          <w:lang w:val="fr-CA"/>
        </w:rPr>
        <w:t xml:space="preserve">qu’ils détiennent et non </w:t>
      </w:r>
      <w:r w:rsidR="007F03EA">
        <w:rPr>
          <w:szCs w:val="16"/>
          <w:lang w:val="fr-CA"/>
        </w:rPr>
        <w:t>des</w:t>
      </w:r>
      <w:r w:rsidR="00B01EC3" w:rsidRPr="00E80C1E">
        <w:rPr>
          <w:szCs w:val="16"/>
          <w:lang w:val="fr-CA"/>
        </w:rPr>
        <w:t xml:space="preserve"> actions dont </w:t>
      </w:r>
      <w:r w:rsidR="00265316">
        <w:rPr>
          <w:szCs w:val="16"/>
          <w:lang w:val="fr-CA"/>
        </w:rPr>
        <w:t xml:space="preserve">ils demandent </w:t>
      </w:r>
      <w:r w:rsidR="00B01EC3" w:rsidRPr="00E80C1E">
        <w:rPr>
          <w:szCs w:val="16"/>
          <w:lang w:val="fr-CA"/>
        </w:rPr>
        <w:t xml:space="preserve">l’inclusion </w:t>
      </w:r>
      <w:r w:rsidRPr="00E80C1E">
        <w:rPr>
          <w:szCs w:val="16"/>
          <w:lang w:val="fr-CA"/>
        </w:rPr>
        <w:t>(</w:t>
      </w:r>
      <w:r w:rsidR="00BD03F5">
        <w:rPr>
          <w:szCs w:val="16"/>
          <w:lang w:val="fr-CA"/>
        </w:rPr>
        <w:t xml:space="preserve">car cela </w:t>
      </w:r>
      <w:r w:rsidR="00B01EC3" w:rsidRPr="00E80C1E">
        <w:rPr>
          <w:szCs w:val="16"/>
          <w:lang w:val="fr-CA"/>
        </w:rPr>
        <w:t xml:space="preserve">ne fait que créer </w:t>
      </w:r>
      <w:r w:rsidR="006A164F">
        <w:rPr>
          <w:szCs w:val="16"/>
          <w:lang w:val="fr-CA"/>
        </w:rPr>
        <w:t>de la</w:t>
      </w:r>
      <w:r w:rsidR="00B01EC3" w:rsidRPr="00E80C1E">
        <w:rPr>
          <w:szCs w:val="16"/>
          <w:lang w:val="fr-CA"/>
        </w:rPr>
        <w:t xml:space="preserve"> compétition entre leurs porteurs </w:t>
      </w:r>
      <w:r w:rsidR="006A164F">
        <w:rPr>
          <w:szCs w:val="16"/>
          <w:lang w:val="fr-CA"/>
        </w:rPr>
        <w:t xml:space="preserve">et </w:t>
      </w:r>
      <w:r w:rsidR="00B01EC3" w:rsidRPr="00E80C1E">
        <w:rPr>
          <w:szCs w:val="16"/>
          <w:lang w:val="fr-CA"/>
        </w:rPr>
        <w:t xml:space="preserve">les </w:t>
      </w:r>
      <w:r w:rsidR="006A164F">
        <w:rPr>
          <w:szCs w:val="16"/>
          <w:lang w:val="fr-CA"/>
        </w:rPr>
        <w:t>inciter</w:t>
      </w:r>
      <w:r w:rsidR="00B01EC3" w:rsidRPr="00E80C1E">
        <w:rPr>
          <w:szCs w:val="16"/>
          <w:lang w:val="fr-CA"/>
        </w:rPr>
        <w:t xml:space="preserve"> à demander </w:t>
      </w:r>
      <w:r w:rsidR="006A164F">
        <w:rPr>
          <w:szCs w:val="16"/>
          <w:lang w:val="fr-CA"/>
        </w:rPr>
        <w:t xml:space="preserve">l’inscription de la totalité de leurs titres à </w:t>
      </w:r>
      <w:r w:rsidR="00B01EC3" w:rsidRPr="00E80C1E">
        <w:rPr>
          <w:szCs w:val="16"/>
          <w:lang w:val="fr-CA"/>
        </w:rPr>
        <w:t>chaque fois</w:t>
      </w:r>
      <w:r w:rsidRPr="00E80C1E">
        <w:rPr>
          <w:szCs w:val="16"/>
          <w:lang w:val="fr-CA"/>
        </w:rPr>
        <w:t xml:space="preserve">). </w:t>
      </w:r>
      <w:r w:rsidR="00B01EC3" w:rsidRPr="00E80C1E">
        <w:rPr>
          <w:szCs w:val="16"/>
          <w:lang w:val="fr-CA"/>
        </w:rPr>
        <w:t xml:space="preserve">De plus, si les </w:t>
      </w:r>
      <w:r w:rsidR="002A0F83" w:rsidRPr="00E80C1E">
        <w:rPr>
          <w:szCs w:val="16"/>
          <w:lang w:val="fr-CA"/>
        </w:rPr>
        <w:t>Porteurs clés</w:t>
      </w:r>
      <w:r w:rsidRPr="00E80C1E">
        <w:rPr>
          <w:szCs w:val="16"/>
          <w:lang w:val="fr-CA"/>
        </w:rPr>
        <w:t xml:space="preserve"> </w:t>
      </w:r>
      <w:r w:rsidR="00B01EC3" w:rsidRPr="00E80C1E">
        <w:rPr>
          <w:szCs w:val="16"/>
          <w:lang w:val="fr-CA"/>
        </w:rPr>
        <w:t xml:space="preserve">ont obtenu des droits d’inscription, </w:t>
      </w:r>
      <w:r w:rsidR="00B01EC3" w:rsidRPr="009A4650">
        <w:rPr>
          <w:szCs w:val="16"/>
          <w:lang w:val="fr-CA"/>
        </w:rPr>
        <w:t>on peut envisager de leur accorder la priorité en cas de réduction</w:t>
      </w:r>
      <w:r w:rsidRPr="009A4650">
        <w:rPr>
          <w:szCs w:val="16"/>
          <w:lang w:val="fr-CA"/>
        </w:rPr>
        <w:t>.</w:t>
      </w:r>
    </w:p>
  </w:footnote>
  <w:footnote w:id="22">
    <w:p w14:paraId="00DEFEA6" w14:textId="3206C2DC"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A04A7C" w:rsidRPr="00E80C1E">
        <w:rPr>
          <w:szCs w:val="16"/>
          <w:lang w:val="fr-CA"/>
        </w:rPr>
        <w:t>Ce</w:t>
      </w:r>
      <w:r w:rsidR="00356104">
        <w:rPr>
          <w:szCs w:val="16"/>
          <w:lang w:val="fr-CA"/>
        </w:rPr>
        <w:t xml:space="preserve"> paragraphe énumère simplement </w:t>
      </w:r>
      <w:r w:rsidR="00A04A7C" w:rsidRPr="00E80C1E">
        <w:rPr>
          <w:szCs w:val="16"/>
          <w:lang w:val="fr-CA"/>
        </w:rPr>
        <w:t xml:space="preserve">les engagements de la Société </w:t>
      </w:r>
      <w:r w:rsidR="00356104">
        <w:rPr>
          <w:szCs w:val="16"/>
          <w:lang w:val="fr-CA"/>
        </w:rPr>
        <w:t>en cas d’</w:t>
      </w:r>
      <w:r w:rsidR="00A04A7C" w:rsidRPr="00E80C1E">
        <w:rPr>
          <w:szCs w:val="16"/>
          <w:lang w:val="fr-CA"/>
        </w:rPr>
        <w:t xml:space="preserve">inscription. À toutes fins utiles, ces dispositions seront remplacées par </w:t>
      </w:r>
      <w:r w:rsidR="00356104">
        <w:rPr>
          <w:szCs w:val="16"/>
          <w:lang w:val="fr-CA"/>
        </w:rPr>
        <w:t>une</w:t>
      </w:r>
      <w:r w:rsidR="00A04A7C" w:rsidRPr="00E80C1E">
        <w:rPr>
          <w:szCs w:val="16"/>
          <w:lang w:val="fr-CA"/>
        </w:rPr>
        <w:t xml:space="preserve"> convention de prise ferme dans le cadre d’un placement </w:t>
      </w:r>
      <w:r w:rsidR="00356104">
        <w:rPr>
          <w:szCs w:val="16"/>
          <w:lang w:val="fr-CA"/>
        </w:rPr>
        <w:t xml:space="preserve">par voie de </w:t>
      </w:r>
      <w:r w:rsidR="00A04A7C" w:rsidRPr="00E80C1E">
        <w:rPr>
          <w:szCs w:val="16"/>
          <w:lang w:val="fr-CA"/>
        </w:rPr>
        <w:t>pris</w:t>
      </w:r>
      <w:r w:rsidR="00356104">
        <w:rPr>
          <w:szCs w:val="16"/>
          <w:lang w:val="fr-CA"/>
        </w:rPr>
        <w:t>e</w:t>
      </w:r>
      <w:r w:rsidR="00A04A7C" w:rsidRPr="00E80C1E">
        <w:rPr>
          <w:szCs w:val="16"/>
          <w:lang w:val="fr-CA"/>
        </w:rPr>
        <w:t xml:space="preserve"> ferme</w:t>
      </w:r>
      <w:r w:rsidRPr="00E80C1E">
        <w:rPr>
          <w:szCs w:val="16"/>
          <w:lang w:val="fr-CA"/>
        </w:rPr>
        <w:t>.</w:t>
      </w:r>
    </w:p>
  </w:footnote>
  <w:footnote w:id="23">
    <w:p w14:paraId="05DBCFBE" w14:textId="2A094598"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A04A7C" w:rsidRPr="00E80C1E">
        <w:rPr>
          <w:szCs w:val="16"/>
          <w:lang w:val="fr-CA"/>
        </w:rPr>
        <w:t>La distinction (ou l’absence de distinction) entre les notions d’« efforts maximums », d’« efforts raisonnables sur le plan commercial »</w:t>
      </w:r>
      <w:r w:rsidR="009F4293">
        <w:rPr>
          <w:szCs w:val="16"/>
          <w:lang w:val="fr-CA"/>
        </w:rPr>
        <w:t xml:space="preserve"> et</w:t>
      </w:r>
      <w:r w:rsidR="00A04A7C" w:rsidRPr="00E80C1E">
        <w:rPr>
          <w:szCs w:val="16"/>
          <w:lang w:val="fr-CA"/>
        </w:rPr>
        <w:t xml:space="preserve"> d’« efforts raisonnables » (</w:t>
      </w:r>
      <w:r w:rsidR="00A04A7C" w:rsidRPr="00E80C1E">
        <w:rPr>
          <w:i/>
          <w:iCs/>
          <w:szCs w:val="16"/>
          <w:lang w:val="fr-CA"/>
        </w:rPr>
        <w:t>best efforts</w:t>
      </w:r>
      <w:r w:rsidR="00A04A7C" w:rsidRPr="00E80C1E">
        <w:rPr>
          <w:szCs w:val="16"/>
          <w:lang w:val="fr-CA"/>
        </w:rPr>
        <w:t xml:space="preserve">, </w:t>
      </w:r>
      <w:r w:rsidR="00A04A7C" w:rsidRPr="00E80C1E">
        <w:rPr>
          <w:i/>
          <w:iCs/>
          <w:szCs w:val="16"/>
          <w:lang w:val="fr-CA"/>
        </w:rPr>
        <w:t>commercially reasonable efforts</w:t>
      </w:r>
      <w:r w:rsidR="00A04A7C" w:rsidRPr="00E80C1E">
        <w:rPr>
          <w:szCs w:val="16"/>
          <w:lang w:val="fr-CA"/>
        </w:rPr>
        <w:t xml:space="preserve">, </w:t>
      </w:r>
      <w:r w:rsidR="00A04A7C" w:rsidRPr="00E80C1E">
        <w:rPr>
          <w:i/>
          <w:iCs/>
          <w:szCs w:val="16"/>
          <w:lang w:val="fr-CA"/>
        </w:rPr>
        <w:t>reasonable efforts</w:t>
      </w:r>
      <w:r w:rsidR="00A04A7C" w:rsidRPr="00E80C1E">
        <w:rPr>
          <w:szCs w:val="16"/>
          <w:lang w:val="fr-CA"/>
        </w:rPr>
        <w:t>) et d’autres normes d’exécution semblables a fait couler beaucoup d’encre</w:t>
      </w:r>
      <w:r w:rsidRPr="00E80C1E">
        <w:rPr>
          <w:szCs w:val="16"/>
          <w:lang w:val="fr-CA"/>
        </w:rPr>
        <w:t xml:space="preserve">. </w:t>
      </w:r>
      <w:r w:rsidR="00A04A7C" w:rsidRPr="00E80C1E">
        <w:rPr>
          <w:szCs w:val="16"/>
          <w:lang w:val="fr-CA"/>
        </w:rPr>
        <w:t>Dans l</w:t>
      </w:r>
      <w:r w:rsidR="009F4293">
        <w:rPr>
          <w:szCs w:val="16"/>
          <w:lang w:val="fr-CA"/>
        </w:rPr>
        <w:t>a</w:t>
      </w:r>
      <w:r w:rsidR="00A04A7C" w:rsidRPr="00E80C1E">
        <w:rPr>
          <w:szCs w:val="16"/>
          <w:lang w:val="fr-CA"/>
        </w:rPr>
        <w:t xml:space="preserve"> présente Convention, les « efforts raisonnables sur le plan commercial » constituent la norme d’exécution par défaut</w:t>
      </w:r>
      <w:r w:rsidRPr="009D4254">
        <w:rPr>
          <w:szCs w:val="16"/>
          <w:lang w:val="fr-CA"/>
        </w:rPr>
        <w:t>.</w:t>
      </w:r>
    </w:p>
  </w:footnote>
  <w:footnote w:id="24">
    <w:p w14:paraId="5CBD70A8" w14:textId="6A1FE46B"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A04A7C" w:rsidRPr="00E80C1E">
        <w:rPr>
          <w:szCs w:val="16"/>
          <w:lang w:val="fr-CA"/>
        </w:rPr>
        <w:t xml:space="preserve">Cette exigence est généralement considérée comme </w:t>
      </w:r>
      <w:r w:rsidR="00FC1BC3">
        <w:rPr>
          <w:szCs w:val="16"/>
          <w:lang w:val="fr-CA"/>
        </w:rPr>
        <w:t>contraignante</w:t>
      </w:r>
      <w:r w:rsidR="00A04A7C" w:rsidRPr="00E80C1E">
        <w:rPr>
          <w:szCs w:val="16"/>
          <w:lang w:val="fr-CA"/>
        </w:rPr>
        <w:t xml:space="preserve"> pour les sociétés, c’est pourquoi elle est souvent exclue des demandes d’inscription</w:t>
      </w:r>
      <w:r w:rsidRPr="00E80C1E">
        <w:rPr>
          <w:szCs w:val="16"/>
          <w:lang w:val="fr-CA"/>
        </w:rPr>
        <w:t>.</w:t>
      </w:r>
    </w:p>
  </w:footnote>
  <w:footnote w:id="25">
    <w:p w14:paraId="6A97D10D" w14:textId="3758A050"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B01EC3" w:rsidRPr="00E80C1E">
        <w:rPr>
          <w:szCs w:val="16"/>
          <w:lang w:val="fr-CA"/>
        </w:rPr>
        <w:t>Ce droit d’inspection est nécessaire pour permettre aux Porteurs vendeurs et aux preneurs fermes</w:t>
      </w:r>
      <w:r w:rsidRPr="00E80C1E">
        <w:rPr>
          <w:szCs w:val="16"/>
          <w:lang w:val="fr-CA"/>
        </w:rPr>
        <w:t xml:space="preserve"> </w:t>
      </w:r>
      <w:r w:rsidR="00B01EC3" w:rsidRPr="00E80C1E">
        <w:rPr>
          <w:szCs w:val="16"/>
          <w:lang w:val="fr-CA"/>
        </w:rPr>
        <w:t xml:space="preserve">d’effectuer </w:t>
      </w:r>
      <w:r w:rsidR="007F20AD">
        <w:rPr>
          <w:szCs w:val="16"/>
          <w:lang w:val="fr-CA"/>
        </w:rPr>
        <w:t xml:space="preserve">leur </w:t>
      </w:r>
      <w:r w:rsidR="001A74F7">
        <w:rPr>
          <w:szCs w:val="16"/>
          <w:lang w:val="fr-CA"/>
        </w:rPr>
        <w:t>vérification</w:t>
      </w:r>
      <w:r w:rsidR="001A74F7" w:rsidRPr="00E80C1E">
        <w:rPr>
          <w:szCs w:val="16"/>
          <w:lang w:val="fr-CA"/>
        </w:rPr>
        <w:t xml:space="preserve"> </w:t>
      </w:r>
      <w:r w:rsidR="00B01EC3" w:rsidRPr="00E80C1E">
        <w:rPr>
          <w:szCs w:val="16"/>
          <w:lang w:val="fr-CA"/>
        </w:rPr>
        <w:t>diligen</w:t>
      </w:r>
      <w:r w:rsidR="007F20AD">
        <w:rPr>
          <w:szCs w:val="16"/>
          <w:lang w:val="fr-CA"/>
        </w:rPr>
        <w:t>t</w:t>
      </w:r>
      <w:r w:rsidR="001A74F7">
        <w:rPr>
          <w:szCs w:val="16"/>
          <w:lang w:val="fr-CA"/>
        </w:rPr>
        <w:t>e</w:t>
      </w:r>
      <w:r w:rsidR="00B01EC3" w:rsidRPr="00E80C1E">
        <w:rPr>
          <w:szCs w:val="16"/>
          <w:lang w:val="fr-CA"/>
        </w:rPr>
        <w:t xml:space="preserve"> à l’égard du placement</w:t>
      </w:r>
      <w:r w:rsidRPr="00E80C1E">
        <w:rPr>
          <w:szCs w:val="16"/>
          <w:lang w:val="fr-CA"/>
        </w:rPr>
        <w:t xml:space="preserve">. </w:t>
      </w:r>
      <w:r w:rsidR="00B01EC3" w:rsidRPr="00E80C1E">
        <w:rPr>
          <w:szCs w:val="16"/>
          <w:lang w:val="fr-CA"/>
        </w:rPr>
        <w:t xml:space="preserve">Lorsqu’elle facilite les contrôles diligents, </w:t>
      </w:r>
      <w:r w:rsidRPr="00E80C1E">
        <w:rPr>
          <w:szCs w:val="16"/>
          <w:lang w:val="fr-CA"/>
        </w:rPr>
        <w:t xml:space="preserve">la Société </w:t>
      </w:r>
      <w:r w:rsidR="00B01EC3" w:rsidRPr="00E80C1E">
        <w:rPr>
          <w:szCs w:val="16"/>
          <w:lang w:val="fr-CA"/>
        </w:rPr>
        <w:t xml:space="preserve">doit tenir compte de ses obligations aux termes du </w:t>
      </w:r>
      <w:r w:rsidRPr="00E80C1E">
        <w:rPr>
          <w:i/>
          <w:iCs/>
          <w:szCs w:val="16"/>
          <w:lang w:val="fr-CA"/>
        </w:rPr>
        <w:t>Regulation</w:t>
      </w:r>
      <w:r w:rsidR="00A04A7C" w:rsidRPr="00E80C1E">
        <w:rPr>
          <w:i/>
          <w:iCs/>
          <w:szCs w:val="16"/>
          <w:lang w:val="fr-CA"/>
        </w:rPr>
        <w:t> </w:t>
      </w:r>
      <w:r w:rsidRPr="00E80C1E">
        <w:rPr>
          <w:i/>
          <w:iCs/>
          <w:szCs w:val="16"/>
          <w:lang w:val="fr-CA"/>
        </w:rPr>
        <w:t>FD</w:t>
      </w:r>
      <w:r w:rsidRPr="00E80C1E">
        <w:rPr>
          <w:szCs w:val="16"/>
          <w:lang w:val="fr-CA"/>
        </w:rPr>
        <w:t xml:space="preserve"> </w:t>
      </w:r>
      <w:r w:rsidR="00B01EC3" w:rsidRPr="00E80C1E">
        <w:rPr>
          <w:szCs w:val="16"/>
          <w:lang w:val="fr-CA"/>
        </w:rPr>
        <w:t xml:space="preserve">pris en application de la Loi de </w:t>
      </w:r>
      <w:r w:rsidR="00B01EC3" w:rsidRPr="00986BEB">
        <w:rPr>
          <w:szCs w:val="16"/>
          <w:lang w:val="fr-CA"/>
        </w:rPr>
        <w:t>1933</w:t>
      </w:r>
      <w:r w:rsidRPr="00E80C1E">
        <w:rPr>
          <w:szCs w:val="16"/>
          <w:lang w:val="fr-CA"/>
        </w:rPr>
        <w:t xml:space="preserve"> </w:t>
      </w:r>
      <w:r w:rsidR="00B01EC3" w:rsidRPr="00E80C1E">
        <w:rPr>
          <w:szCs w:val="16"/>
          <w:lang w:val="fr-CA"/>
        </w:rPr>
        <w:t>et des règles similaires prises en application des Lois sur les valeurs mobilières canadiennes</w:t>
      </w:r>
      <w:r w:rsidRPr="00E80C1E">
        <w:rPr>
          <w:szCs w:val="16"/>
          <w:lang w:val="fr-CA"/>
        </w:rPr>
        <w:t>.</w:t>
      </w:r>
    </w:p>
  </w:footnote>
  <w:footnote w:id="26">
    <w:p w14:paraId="5D3BCF84" w14:textId="336BDF04"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Note</w:t>
      </w:r>
      <w:r w:rsidR="009677AC" w:rsidRPr="00E80C1E">
        <w:rPr>
          <w:szCs w:val="16"/>
          <w:lang w:val="fr-CA"/>
        </w:rPr>
        <w:t>z que, dans les faits, les conventions de prise ferme prévoient également des obligations d’indemnisation; c’est pourquoi il est important d’examiner attentivement les dispositions d’</w:t>
      </w:r>
      <w:r w:rsidRPr="00E80C1E">
        <w:rPr>
          <w:szCs w:val="16"/>
          <w:lang w:val="fr-CA"/>
        </w:rPr>
        <w:t>indemni</w:t>
      </w:r>
      <w:r w:rsidR="009677AC" w:rsidRPr="00E80C1E">
        <w:rPr>
          <w:szCs w:val="16"/>
          <w:lang w:val="fr-CA"/>
        </w:rPr>
        <w:t>sation dans le cadre des appels publics à l’épargne par voie de prise ferme</w:t>
      </w:r>
      <w:r w:rsidRPr="00E80C1E">
        <w:rPr>
          <w:szCs w:val="16"/>
          <w:lang w:val="fr-CA"/>
        </w:rPr>
        <w:t>.</w:t>
      </w:r>
    </w:p>
  </w:footnote>
  <w:footnote w:id="27">
    <w:p w14:paraId="5A94D517" w14:textId="72015F76"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0F37C7" w:rsidRPr="00E80C1E">
        <w:rPr>
          <w:szCs w:val="16"/>
          <w:lang w:val="fr-CA"/>
        </w:rPr>
        <w:t xml:space="preserve">La valeur et la nécessité de l’obligation de fournir des exemplaires des documents déposés auprès de la SEC sont discutables étant donné que tous ces documents sont accessibles sur </w:t>
      </w:r>
      <w:r w:rsidRPr="00E80C1E">
        <w:rPr>
          <w:szCs w:val="16"/>
          <w:lang w:val="fr-CA"/>
        </w:rPr>
        <w:t>EDGAR.</w:t>
      </w:r>
    </w:p>
  </w:footnote>
  <w:footnote w:id="28">
    <w:p w14:paraId="1ABFC0E7" w14:textId="3B6E575D"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077C7A" w:rsidRPr="00E80C1E">
        <w:rPr>
          <w:szCs w:val="16"/>
          <w:lang w:val="fr-CA"/>
        </w:rPr>
        <w:t xml:space="preserve">Il faut </w:t>
      </w:r>
      <w:r w:rsidR="00532F0A">
        <w:rPr>
          <w:szCs w:val="16"/>
          <w:lang w:val="fr-CA"/>
        </w:rPr>
        <w:t xml:space="preserve">s’assurer que </w:t>
      </w:r>
      <w:r w:rsidR="00077C7A" w:rsidRPr="00E80C1E">
        <w:rPr>
          <w:szCs w:val="16"/>
          <w:lang w:val="fr-CA"/>
        </w:rPr>
        <w:t xml:space="preserve">cette disposition ne confère pas à un investisseur en particulier un droit de blocage à </w:t>
      </w:r>
      <w:r w:rsidR="002F20BB" w:rsidRPr="00E80C1E">
        <w:rPr>
          <w:szCs w:val="16"/>
          <w:lang w:val="fr-CA"/>
        </w:rPr>
        <w:t>l</w:t>
      </w:r>
      <w:r w:rsidR="002F20BB">
        <w:rPr>
          <w:szCs w:val="16"/>
          <w:lang w:val="fr-CA"/>
        </w:rPr>
        <w:t>’</w:t>
      </w:r>
      <w:r w:rsidR="002F20BB" w:rsidRPr="00E80C1E">
        <w:rPr>
          <w:szCs w:val="16"/>
          <w:lang w:val="fr-CA"/>
        </w:rPr>
        <w:t>é</w:t>
      </w:r>
      <w:r w:rsidR="00077C7A" w:rsidRPr="00E80C1E">
        <w:rPr>
          <w:szCs w:val="16"/>
          <w:lang w:val="fr-CA"/>
        </w:rPr>
        <w:t xml:space="preserve">gard des émissions futures de titres </w:t>
      </w:r>
      <w:r w:rsidR="002F20BB" w:rsidRPr="00E80C1E">
        <w:rPr>
          <w:szCs w:val="16"/>
          <w:lang w:val="fr-CA"/>
        </w:rPr>
        <w:t>d</w:t>
      </w:r>
      <w:r w:rsidR="002F20BB">
        <w:rPr>
          <w:szCs w:val="16"/>
          <w:lang w:val="fr-CA"/>
        </w:rPr>
        <w:t>’</w:t>
      </w:r>
      <w:r w:rsidR="002F20BB" w:rsidRPr="00E80C1E">
        <w:rPr>
          <w:szCs w:val="16"/>
          <w:lang w:val="fr-CA"/>
        </w:rPr>
        <w:t>u</w:t>
      </w:r>
      <w:r w:rsidR="00077C7A" w:rsidRPr="00E80C1E">
        <w:rPr>
          <w:szCs w:val="16"/>
          <w:lang w:val="fr-CA"/>
        </w:rPr>
        <w:t>ne portée plus large que celle qui est prévue dans les Statuts.</w:t>
      </w:r>
    </w:p>
  </w:footnote>
  <w:footnote w:id="29">
    <w:p w14:paraId="495826D3" w14:textId="2AA6D920"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077C7A" w:rsidRPr="00E80C1E">
        <w:rPr>
          <w:lang w:val="fr-CA"/>
        </w:rPr>
        <w:t xml:space="preserve">Ce paragraphe </w:t>
      </w:r>
      <w:r w:rsidR="00897C56">
        <w:rPr>
          <w:lang w:val="fr-CA"/>
        </w:rPr>
        <w:t>décrit</w:t>
      </w:r>
      <w:r w:rsidR="00077C7A" w:rsidRPr="00E80C1E">
        <w:rPr>
          <w:lang w:val="fr-CA"/>
        </w:rPr>
        <w:t xml:space="preserve"> la période pendant laquelle il sera interdit aux investisseurs et aux autres porteurs de vendre leurs titres à la suite du PAPE et éventuellement </w:t>
      </w:r>
      <w:r w:rsidR="002F20BB" w:rsidRPr="00E80C1E">
        <w:rPr>
          <w:lang w:val="fr-CA"/>
        </w:rPr>
        <w:t>d</w:t>
      </w:r>
      <w:r w:rsidR="002F20BB">
        <w:rPr>
          <w:lang w:val="fr-CA"/>
        </w:rPr>
        <w:t>’</w:t>
      </w:r>
      <w:r w:rsidR="002F20BB" w:rsidRPr="00E80C1E">
        <w:rPr>
          <w:lang w:val="fr-CA"/>
        </w:rPr>
        <w:t>a</w:t>
      </w:r>
      <w:r w:rsidR="00077C7A" w:rsidRPr="00E80C1E">
        <w:rPr>
          <w:lang w:val="fr-CA"/>
        </w:rPr>
        <w:t>utres inscriptions.</w:t>
      </w:r>
      <w:r w:rsidRPr="00E80C1E">
        <w:rPr>
          <w:lang w:val="fr-CA"/>
        </w:rPr>
        <w:t xml:space="preserve"> </w:t>
      </w:r>
      <w:r w:rsidR="00077C7A" w:rsidRPr="00E80C1E">
        <w:rPr>
          <w:lang w:val="fr-CA"/>
        </w:rPr>
        <w:t>En règle générale, le preneur ferme exigera une convention de blocage, dont la durée sera habituellement fixée à cent quatre-vingts (</w:t>
      </w:r>
      <w:r w:rsidR="00077C7A" w:rsidRPr="00986BEB">
        <w:rPr>
          <w:lang w:val="fr-CA"/>
        </w:rPr>
        <w:t>180</w:t>
      </w:r>
      <w:r w:rsidR="00077C7A" w:rsidRPr="00E80C1E">
        <w:rPr>
          <w:lang w:val="fr-CA"/>
        </w:rPr>
        <w:t>) jours pour un PAPE.</w:t>
      </w:r>
      <w:r w:rsidRPr="00E80C1E">
        <w:rPr>
          <w:lang w:val="fr-CA"/>
        </w:rPr>
        <w:t xml:space="preserve"> </w:t>
      </w:r>
      <w:r w:rsidR="00077C7A" w:rsidRPr="00E80C1E">
        <w:rPr>
          <w:lang w:val="fr-CA"/>
        </w:rPr>
        <w:t xml:space="preserve">Toutefois, les Investisseurs et la Société peuvent envisager des libérations échelonnées du blocage (p. ex. en </w:t>
      </w:r>
      <w:r w:rsidR="00077C7A" w:rsidRPr="00B716EF">
        <w:rPr>
          <w:lang w:val="fr-CA"/>
        </w:rPr>
        <w:t xml:space="preserve">fonction du rendement </w:t>
      </w:r>
      <w:r w:rsidR="00897C56" w:rsidRPr="00B716EF">
        <w:rPr>
          <w:lang w:val="fr-CA"/>
        </w:rPr>
        <w:t xml:space="preserve">du </w:t>
      </w:r>
      <w:r w:rsidR="00077C7A" w:rsidRPr="00B716EF">
        <w:rPr>
          <w:lang w:val="fr-CA"/>
        </w:rPr>
        <w:t>cours des actions</w:t>
      </w:r>
      <w:r w:rsidR="00077C7A" w:rsidRPr="009A4650">
        <w:rPr>
          <w:lang w:val="fr-CA"/>
        </w:rPr>
        <w:t>),</w:t>
      </w:r>
      <w:r w:rsidR="00077C7A" w:rsidRPr="00E80C1E">
        <w:rPr>
          <w:lang w:val="fr-CA"/>
        </w:rPr>
        <w:t xml:space="preserve"> afin </w:t>
      </w:r>
      <w:r w:rsidR="002F20BB" w:rsidRPr="00E80C1E">
        <w:rPr>
          <w:lang w:val="fr-CA"/>
        </w:rPr>
        <w:t>d</w:t>
      </w:r>
      <w:r w:rsidR="002F20BB">
        <w:rPr>
          <w:lang w:val="fr-CA"/>
        </w:rPr>
        <w:t>’</w:t>
      </w:r>
      <w:r w:rsidR="002F20BB" w:rsidRPr="00E80C1E">
        <w:rPr>
          <w:lang w:val="fr-CA"/>
        </w:rPr>
        <w:t>a</w:t>
      </w:r>
      <w:r w:rsidR="00077C7A" w:rsidRPr="00E80C1E">
        <w:rPr>
          <w:lang w:val="fr-CA"/>
        </w:rPr>
        <w:t xml:space="preserve">tténuer le risque </w:t>
      </w:r>
      <w:r w:rsidR="002F20BB" w:rsidRPr="00E80C1E">
        <w:rPr>
          <w:lang w:val="fr-CA"/>
        </w:rPr>
        <w:t>d</w:t>
      </w:r>
      <w:r w:rsidR="00077C7A" w:rsidRPr="00E80C1E">
        <w:rPr>
          <w:lang w:val="fr-CA"/>
        </w:rPr>
        <w:t xml:space="preserve">e </w:t>
      </w:r>
      <w:r w:rsidR="00077C7A" w:rsidRPr="00913122">
        <w:rPr>
          <w:lang w:val="fr-CA"/>
        </w:rPr>
        <w:t>vente massive</w:t>
      </w:r>
      <w:r w:rsidR="00077C7A" w:rsidRPr="00E80C1E">
        <w:rPr>
          <w:lang w:val="fr-CA"/>
        </w:rPr>
        <w:t xml:space="preserve"> après </w:t>
      </w:r>
      <w:r w:rsidR="002F20BB" w:rsidRPr="00E80C1E">
        <w:rPr>
          <w:lang w:val="fr-CA"/>
        </w:rPr>
        <w:t>l</w:t>
      </w:r>
      <w:r w:rsidR="002F20BB">
        <w:rPr>
          <w:lang w:val="fr-CA"/>
        </w:rPr>
        <w:t>’</w:t>
      </w:r>
      <w:r w:rsidR="002F20BB" w:rsidRPr="00E80C1E">
        <w:rPr>
          <w:lang w:val="fr-CA"/>
        </w:rPr>
        <w:t>e</w:t>
      </w:r>
      <w:r w:rsidR="00077C7A" w:rsidRPr="00E80C1E">
        <w:rPr>
          <w:lang w:val="fr-CA"/>
        </w:rPr>
        <w:t>xpiration des cent quatre-vingts (</w:t>
      </w:r>
      <w:r w:rsidR="00077C7A" w:rsidRPr="00986BEB">
        <w:rPr>
          <w:lang w:val="fr-CA"/>
        </w:rPr>
        <w:t>180</w:t>
      </w:r>
      <w:r w:rsidR="00077C7A" w:rsidRPr="00E80C1E">
        <w:rPr>
          <w:lang w:val="fr-CA"/>
        </w:rPr>
        <w:t>) jours.</w:t>
      </w:r>
      <w:r w:rsidRPr="00E80C1E">
        <w:rPr>
          <w:lang w:val="fr-CA"/>
        </w:rPr>
        <w:t xml:space="preserve"> </w:t>
      </w:r>
      <w:r w:rsidR="00077C7A" w:rsidRPr="00E80C1E">
        <w:rPr>
          <w:lang w:val="fr-CA"/>
        </w:rPr>
        <w:t>Étant donné q</w:t>
      </w:r>
      <w:r w:rsidR="002F20BB" w:rsidRPr="00E80C1E">
        <w:rPr>
          <w:lang w:val="fr-CA"/>
        </w:rPr>
        <w:t>u</w:t>
      </w:r>
      <w:r w:rsidR="002F20BB">
        <w:rPr>
          <w:lang w:val="fr-CA"/>
        </w:rPr>
        <w:t>’</w:t>
      </w:r>
      <w:r w:rsidR="002F20BB" w:rsidRPr="00E80C1E">
        <w:rPr>
          <w:lang w:val="fr-CA"/>
        </w:rPr>
        <w:t>i</w:t>
      </w:r>
      <w:r w:rsidR="00077C7A" w:rsidRPr="00E80C1E">
        <w:rPr>
          <w:lang w:val="fr-CA"/>
        </w:rPr>
        <w:t xml:space="preserve">l est presque certain que les principaux investisseurs de la Société devront conclure une convention de blocage, </w:t>
      </w:r>
      <w:r w:rsidR="009661B3">
        <w:rPr>
          <w:lang w:val="fr-CA"/>
        </w:rPr>
        <w:t>les</w:t>
      </w:r>
      <w:r w:rsidR="00077C7A" w:rsidRPr="00E80C1E">
        <w:rPr>
          <w:lang w:val="fr-CA"/>
        </w:rPr>
        <w:t xml:space="preserve"> disposition</w:t>
      </w:r>
      <w:r w:rsidR="00617307">
        <w:rPr>
          <w:lang w:val="fr-CA"/>
        </w:rPr>
        <w:t>s</w:t>
      </w:r>
      <w:r w:rsidR="00077C7A" w:rsidRPr="00E80C1E">
        <w:rPr>
          <w:lang w:val="fr-CA"/>
        </w:rPr>
        <w:t xml:space="preserve"> de blocage </w:t>
      </w:r>
      <w:r w:rsidR="00820FF8">
        <w:rPr>
          <w:lang w:val="fr-CA"/>
        </w:rPr>
        <w:t>peuvent</w:t>
      </w:r>
      <w:r w:rsidR="00077C7A" w:rsidRPr="00E80C1E">
        <w:rPr>
          <w:lang w:val="fr-CA"/>
        </w:rPr>
        <w:t xml:space="preserve"> être </w:t>
      </w:r>
      <w:r w:rsidR="009661B3">
        <w:rPr>
          <w:lang w:val="fr-CA"/>
        </w:rPr>
        <w:t xml:space="preserve">utiles surtout pour </w:t>
      </w:r>
      <w:r w:rsidR="00077C7A" w:rsidRPr="00E80C1E">
        <w:rPr>
          <w:lang w:val="fr-CA"/>
        </w:rPr>
        <w:t xml:space="preserve">garantir un blocage similaire </w:t>
      </w:r>
      <w:r w:rsidR="009661B3">
        <w:rPr>
          <w:lang w:val="fr-CA"/>
        </w:rPr>
        <w:t>à l’égard d</w:t>
      </w:r>
      <w:r w:rsidR="00077C7A" w:rsidRPr="00E80C1E">
        <w:rPr>
          <w:lang w:val="fr-CA"/>
        </w:rPr>
        <w:t xml:space="preserve">es actions détenues par les plus petits porteurs </w:t>
      </w:r>
      <w:r w:rsidR="002F20BB" w:rsidRPr="00E80C1E">
        <w:rPr>
          <w:lang w:val="fr-CA"/>
        </w:rPr>
        <w:t>d</w:t>
      </w:r>
      <w:r w:rsidR="002F20BB">
        <w:rPr>
          <w:lang w:val="fr-CA"/>
        </w:rPr>
        <w:t>’</w:t>
      </w:r>
      <w:r w:rsidR="002F20BB" w:rsidRPr="00E80C1E">
        <w:rPr>
          <w:lang w:val="fr-CA"/>
        </w:rPr>
        <w:t>a</w:t>
      </w:r>
      <w:r w:rsidR="00077C7A" w:rsidRPr="00E80C1E">
        <w:rPr>
          <w:lang w:val="fr-CA"/>
        </w:rPr>
        <w:t>ctions de la Société.</w:t>
      </w:r>
      <w:r w:rsidRPr="00E80C1E">
        <w:rPr>
          <w:lang w:val="fr-CA"/>
        </w:rPr>
        <w:t xml:space="preserve"> </w:t>
      </w:r>
      <w:r w:rsidR="00077C7A" w:rsidRPr="00E80C1E">
        <w:rPr>
          <w:lang w:val="fr-CA"/>
        </w:rPr>
        <w:t xml:space="preserve">Notez cependant que si certains investisseurs sont libérés du blocage et vendent leurs titres </w:t>
      </w:r>
      <w:r w:rsidR="009661B3">
        <w:rPr>
          <w:lang w:val="fr-CA"/>
        </w:rPr>
        <w:t>en vertu</w:t>
      </w:r>
      <w:r w:rsidR="00077C7A" w:rsidRPr="00E80C1E">
        <w:rPr>
          <w:lang w:val="fr-CA"/>
        </w:rPr>
        <w:t xml:space="preserve"> de la Règle</w:t>
      </w:r>
      <w:r w:rsidR="00820FF8">
        <w:rPr>
          <w:lang w:val="fr-CA"/>
        </w:rPr>
        <w:t> </w:t>
      </w:r>
      <w:r w:rsidR="00077C7A" w:rsidRPr="00986BEB">
        <w:rPr>
          <w:lang w:val="fr-CA"/>
        </w:rPr>
        <w:t>144</w:t>
      </w:r>
      <w:r w:rsidR="00077C7A" w:rsidRPr="00E80C1E">
        <w:rPr>
          <w:lang w:val="fr-CA"/>
        </w:rPr>
        <w:t xml:space="preserve">, </w:t>
      </w:r>
      <w:r w:rsidR="009661B3">
        <w:rPr>
          <w:lang w:val="fr-CA"/>
        </w:rPr>
        <w:t xml:space="preserve">ces </w:t>
      </w:r>
      <w:r w:rsidR="00077C7A" w:rsidRPr="00E80C1E">
        <w:rPr>
          <w:lang w:val="fr-CA"/>
        </w:rPr>
        <w:t>disposition</w:t>
      </w:r>
      <w:r w:rsidR="009661B3">
        <w:rPr>
          <w:lang w:val="fr-CA"/>
        </w:rPr>
        <w:t>s</w:t>
      </w:r>
      <w:r w:rsidR="00077C7A" w:rsidRPr="00E80C1E">
        <w:rPr>
          <w:lang w:val="fr-CA"/>
        </w:rPr>
        <w:t xml:space="preserve"> pourrai</w:t>
      </w:r>
      <w:r w:rsidR="009661B3">
        <w:rPr>
          <w:lang w:val="fr-CA"/>
        </w:rPr>
        <w:t>en</w:t>
      </w:r>
      <w:r w:rsidR="00077C7A" w:rsidRPr="00E80C1E">
        <w:rPr>
          <w:lang w:val="fr-CA"/>
        </w:rPr>
        <w:t xml:space="preserve">t </w:t>
      </w:r>
      <w:r w:rsidR="009661B3">
        <w:rPr>
          <w:lang w:val="fr-CA"/>
        </w:rPr>
        <w:t xml:space="preserve">aussi </w:t>
      </w:r>
      <w:r w:rsidR="00077C7A" w:rsidRPr="00E80C1E">
        <w:rPr>
          <w:lang w:val="fr-CA"/>
        </w:rPr>
        <w:t xml:space="preserve">protéger la Société et ses administrateurs contre une éventuelle responsabilité </w:t>
      </w:r>
      <w:r w:rsidR="00820FF8">
        <w:rPr>
          <w:lang w:val="fr-CA"/>
        </w:rPr>
        <w:t>aux termes de</w:t>
      </w:r>
      <w:r w:rsidR="009661B3">
        <w:rPr>
          <w:lang w:val="fr-CA"/>
        </w:rPr>
        <w:t xml:space="preserve"> </w:t>
      </w:r>
      <w:r w:rsidR="00077C7A" w:rsidRPr="00E80C1E">
        <w:rPr>
          <w:lang w:val="fr-CA"/>
        </w:rPr>
        <w:t>l’article </w:t>
      </w:r>
      <w:r w:rsidRPr="00986BEB">
        <w:rPr>
          <w:lang w:val="fr-CA"/>
        </w:rPr>
        <w:t>11</w:t>
      </w:r>
      <w:r w:rsidRPr="00E80C1E">
        <w:rPr>
          <w:lang w:val="fr-CA"/>
        </w:rPr>
        <w:t xml:space="preserve">. </w:t>
      </w:r>
      <w:r w:rsidR="00077C7A" w:rsidRPr="00E80C1E">
        <w:rPr>
          <w:lang w:val="fr-CA"/>
        </w:rPr>
        <w:t xml:space="preserve">Voir </w:t>
      </w:r>
      <w:r w:rsidRPr="00E80C1E">
        <w:rPr>
          <w:i/>
          <w:iCs/>
          <w:lang w:val="fr-CA"/>
        </w:rPr>
        <w:t>Krim v. pcOrder.com, Inc.</w:t>
      </w:r>
      <w:r w:rsidRPr="00E80C1E">
        <w:rPr>
          <w:lang w:val="fr-CA"/>
        </w:rPr>
        <w:t xml:space="preserve"> </w:t>
      </w:r>
      <w:r w:rsidRPr="00986BEB">
        <w:rPr>
          <w:i/>
          <w:iCs/>
          <w:lang w:val="fr-CA"/>
        </w:rPr>
        <w:t>402</w:t>
      </w:r>
      <w:r w:rsidRPr="00E80C1E">
        <w:rPr>
          <w:i/>
          <w:iCs/>
          <w:lang w:val="fr-CA"/>
        </w:rPr>
        <w:t xml:space="preserve"> F.</w:t>
      </w:r>
      <w:r w:rsidRPr="00986BEB">
        <w:rPr>
          <w:i/>
          <w:iCs/>
          <w:lang w:val="fr-CA"/>
        </w:rPr>
        <w:t>3</w:t>
      </w:r>
      <w:r w:rsidRPr="00E80C1E">
        <w:rPr>
          <w:i/>
          <w:iCs/>
          <w:lang w:val="fr-CA"/>
        </w:rPr>
        <w:t xml:space="preserve">d </w:t>
      </w:r>
      <w:r w:rsidRPr="00986BEB">
        <w:rPr>
          <w:i/>
          <w:iCs/>
          <w:lang w:val="fr-CA"/>
        </w:rPr>
        <w:t>489</w:t>
      </w:r>
      <w:r w:rsidRPr="00E80C1E">
        <w:rPr>
          <w:i/>
          <w:iCs/>
          <w:lang w:val="fr-CA"/>
        </w:rPr>
        <w:t xml:space="preserve"> (</w:t>
      </w:r>
      <w:r w:rsidRPr="00986BEB">
        <w:rPr>
          <w:i/>
          <w:iCs/>
          <w:lang w:val="fr-CA"/>
        </w:rPr>
        <w:t>5</w:t>
      </w:r>
      <w:r w:rsidRPr="00E80C1E">
        <w:rPr>
          <w:i/>
          <w:iCs/>
          <w:lang w:val="fr-CA"/>
        </w:rPr>
        <w:t>th Cir. </w:t>
      </w:r>
      <w:r w:rsidRPr="00986BEB">
        <w:rPr>
          <w:i/>
          <w:iCs/>
          <w:lang w:val="fr-CA"/>
        </w:rPr>
        <w:t>2015</w:t>
      </w:r>
      <w:r w:rsidRPr="00E80C1E">
        <w:rPr>
          <w:i/>
          <w:iCs/>
          <w:lang w:val="fr-CA"/>
        </w:rPr>
        <w:t>)</w:t>
      </w:r>
      <w:r w:rsidR="00077C7A" w:rsidRPr="00E80C1E">
        <w:rPr>
          <w:lang w:val="fr-CA"/>
        </w:rPr>
        <w:t xml:space="preserve"> </w:t>
      </w:r>
      <w:r w:rsidRPr="00E80C1E">
        <w:rPr>
          <w:lang w:val="fr-CA"/>
        </w:rPr>
        <w:t>(</w:t>
      </w:r>
      <w:r w:rsidR="00077C7A" w:rsidRPr="00E80C1E">
        <w:rPr>
          <w:lang w:val="fr-CA"/>
        </w:rPr>
        <w:t xml:space="preserve">qui statue que les investisseurs n’ont pas qualité pour présenter une réclamation </w:t>
      </w:r>
      <w:r w:rsidR="009661B3">
        <w:rPr>
          <w:lang w:val="fr-CA"/>
        </w:rPr>
        <w:t>aux termes</w:t>
      </w:r>
      <w:r w:rsidR="00077C7A" w:rsidRPr="00E80C1E">
        <w:rPr>
          <w:lang w:val="fr-CA"/>
        </w:rPr>
        <w:t xml:space="preserve"> de l’article </w:t>
      </w:r>
      <w:r w:rsidR="00077C7A" w:rsidRPr="00986BEB">
        <w:rPr>
          <w:lang w:val="fr-CA"/>
        </w:rPr>
        <w:t>11</w:t>
      </w:r>
      <w:r w:rsidR="00077C7A" w:rsidRPr="00E80C1E">
        <w:rPr>
          <w:lang w:val="fr-CA"/>
        </w:rPr>
        <w:t xml:space="preserve"> s’ils ne peuvent démontrer avec une certitude absolue que les actions qu’ils ont acquises sur le marché libre étaient </w:t>
      </w:r>
      <w:r w:rsidR="00F56D37">
        <w:rPr>
          <w:lang w:val="fr-CA"/>
        </w:rPr>
        <w:t>en fait</w:t>
      </w:r>
      <w:r w:rsidR="00077C7A" w:rsidRPr="00E80C1E">
        <w:rPr>
          <w:lang w:val="fr-CA"/>
        </w:rPr>
        <w:t xml:space="preserve"> inscrites dans la déclaration d’inscription prétendument fausse ou trompeuse)</w:t>
      </w:r>
      <w:r w:rsidRPr="00E80C1E">
        <w:rPr>
          <w:lang w:val="fr-CA"/>
        </w:rPr>
        <w:t>.</w:t>
      </w:r>
    </w:p>
  </w:footnote>
  <w:footnote w:id="30">
    <w:p w14:paraId="55D63C60" w14:textId="5A41E35F"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1B54B4">
        <w:rPr>
          <w:szCs w:val="16"/>
          <w:lang w:val="fr-CA"/>
        </w:rPr>
        <w:t xml:space="preserve">Ce </w:t>
      </w:r>
      <w:r w:rsidR="00077C7A" w:rsidRPr="00E80C1E">
        <w:rPr>
          <w:szCs w:val="16"/>
          <w:lang w:val="fr-CA"/>
        </w:rPr>
        <w:t xml:space="preserve">passage entre crochets prévoit des blocages supplémentaires pour les inscriptions </w:t>
      </w:r>
      <w:r w:rsidR="00820FF8">
        <w:rPr>
          <w:szCs w:val="16"/>
          <w:lang w:val="fr-CA"/>
        </w:rPr>
        <w:t xml:space="preserve">dans un autre contexte que le </w:t>
      </w:r>
      <w:r w:rsidR="00077C7A" w:rsidRPr="00E80C1E">
        <w:rPr>
          <w:szCs w:val="16"/>
          <w:lang w:val="fr-CA"/>
        </w:rPr>
        <w:t>PAPE.</w:t>
      </w:r>
      <w:r w:rsidRPr="00E80C1E">
        <w:rPr>
          <w:szCs w:val="16"/>
          <w:lang w:val="fr-CA"/>
        </w:rPr>
        <w:t xml:space="preserve"> </w:t>
      </w:r>
      <w:r w:rsidR="00077C7A" w:rsidRPr="00E80C1E">
        <w:rPr>
          <w:szCs w:val="16"/>
          <w:lang w:val="fr-CA"/>
        </w:rPr>
        <w:t xml:space="preserve">Certains investisseurs </w:t>
      </w:r>
      <w:r w:rsidR="001B54B4">
        <w:rPr>
          <w:szCs w:val="16"/>
          <w:lang w:val="fr-CA"/>
        </w:rPr>
        <w:t xml:space="preserve">pourraient être en désaccord </w:t>
      </w:r>
      <w:r w:rsidR="00077C7A" w:rsidRPr="00E80C1E">
        <w:rPr>
          <w:szCs w:val="16"/>
          <w:lang w:val="fr-CA"/>
        </w:rPr>
        <w:t xml:space="preserve">avec le fait d’être assujettis à un blocage </w:t>
      </w:r>
      <w:r w:rsidR="001B54B4">
        <w:rPr>
          <w:szCs w:val="16"/>
          <w:lang w:val="fr-CA"/>
        </w:rPr>
        <w:t xml:space="preserve">dans le cas d’une inscription autre que le </w:t>
      </w:r>
      <w:r w:rsidR="00077C7A" w:rsidRPr="00E80C1E">
        <w:rPr>
          <w:szCs w:val="16"/>
          <w:lang w:val="fr-CA"/>
        </w:rPr>
        <w:t>PAPE</w:t>
      </w:r>
      <w:r w:rsidRPr="00E80C1E">
        <w:rPr>
          <w:szCs w:val="16"/>
          <w:lang w:val="fr-CA"/>
        </w:rPr>
        <w:t xml:space="preserve">, </w:t>
      </w:r>
      <w:r w:rsidR="00077C7A" w:rsidRPr="00E80C1E">
        <w:rPr>
          <w:szCs w:val="16"/>
          <w:lang w:val="fr-CA"/>
        </w:rPr>
        <w:t xml:space="preserve">tandis que d’autres </w:t>
      </w:r>
      <w:r w:rsidR="001B54B4">
        <w:rPr>
          <w:szCs w:val="16"/>
          <w:lang w:val="fr-CA"/>
        </w:rPr>
        <w:t>pourraient préférer inclure</w:t>
      </w:r>
      <w:r w:rsidR="00077C7A" w:rsidRPr="00E80C1E">
        <w:rPr>
          <w:szCs w:val="16"/>
          <w:lang w:val="fr-CA"/>
        </w:rPr>
        <w:t xml:space="preserve"> cette disposition pour garantir le succès d’un éventuel placement subséquent</w:t>
      </w:r>
      <w:r w:rsidRPr="00E80C1E">
        <w:rPr>
          <w:szCs w:val="16"/>
          <w:lang w:val="fr-CA"/>
        </w:rPr>
        <w:t xml:space="preserve">. </w:t>
      </w:r>
      <w:r w:rsidR="00077C7A" w:rsidRPr="00E80C1E">
        <w:rPr>
          <w:szCs w:val="16"/>
          <w:lang w:val="fr-CA"/>
        </w:rPr>
        <w:t xml:space="preserve">En guise de compromis, on peut prévoir que dans le cas d’un placement autre que le PAPE, les porteurs seraient assujettis à un blocage si le preneur ferme chef de file </w:t>
      </w:r>
      <w:r w:rsidR="00820FF8">
        <w:rPr>
          <w:szCs w:val="16"/>
          <w:lang w:val="fr-CA"/>
        </w:rPr>
        <w:t>le</w:t>
      </w:r>
      <w:r w:rsidR="00077C7A" w:rsidRPr="00E80C1E">
        <w:rPr>
          <w:szCs w:val="16"/>
          <w:lang w:val="fr-CA"/>
        </w:rPr>
        <w:t xml:space="preserve"> demande et que les Porteurs de </w:t>
      </w:r>
      <w:r w:rsidRPr="00E80C1E">
        <w:rPr>
          <w:szCs w:val="16"/>
          <w:lang w:val="fr-CA"/>
        </w:rPr>
        <w:t>[X]</w:t>
      </w:r>
      <w:r w:rsidR="00077C7A" w:rsidRPr="00E80C1E">
        <w:rPr>
          <w:szCs w:val="16"/>
          <w:lang w:val="fr-CA"/>
        </w:rPr>
        <w:t> </w:t>
      </w:r>
      <w:r w:rsidRPr="00E80C1E">
        <w:rPr>
          <w:szCs w:val="16"/>
          <w:lang w:val="fr-CA"/>
        </w:rPr>
        <w:t xml:space="preserve">% </w:t>
      </w:r>
      <w:r w:rsidR="00077C7A" w:rsidRPr="00E80C1E">
        <w:rPr>
          <w:szCs w:val="16"/>
          <w:lang w:val="fr-CA"/>
        </w:rPr>
        <w:t>des</w:t>
      </w:r>
      <w:r w:rsidRPr="00E80C1E">
        <w:rPr>
          <w:szCs w:val="16"/>
          <w:lang w:val="fr-CA"/>
        </w:rPr>
        <w:t xml:space="preserve"> </w:t>
      </w:r>
      <w:r w:rsidR="00280F12" w:rsidRPr="00E80C1E">
        <w:rPr>
          <w:szCs w:val="16"/>
          <w:lang w:val="fr-CA"/>
        </w:rPr>
        <w:t>Titres à inscrire</w:t>
      </w:r>
      <w:r w:rsidR="00077C7A" w:rsidRPr="00E80C1E">
        <w:rPr>
          <w:szCs w:val="16"/>
          <w:lang w:val="fr-CA"/>
        </w:rPr>
        <w:t xml:space="preserve"> </w:t>
      </w:r>
      <w:r w:rsidR="001B54B4">
        <w:rPr>
          <w:szCs w:val="16"/>
          <w:lang w:val="fr-CA"/>
        </w:rPr>
        <w:t>y consentent</w:t>
      </w:r>
      <w:r w:rsidRPr="00E80C1E">
        <w:rPr>
          <w:szCs w:val="16"/>
          <w:lang w:val="fr-CA"/>
        </w:rPr>
        <w:t>.</w:t>
      </w:r>
    </w:p>
  </w:footnote>
  <w:footnote w:id="31">
    <w:p w14:paraId="16D712E8" w14:textId="5D7DA228"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077C7A" w:rsidRPr="00E80C1E">
        <w:rPr>
          <w:lang w:val="fr-CA"/>
        </w:rPr>
        <w:t>Les investisseurs voudront que les actions ordinaires acquises dans le cadre du PAPE ou sur le marché public après le PAPE soient dispensées des dispositions de blocage, afin de ne pas être désavantagés par rapport aux autres acquéreurs sur le marché public.</w:t>
      </w:r>
    </w:p>
  </w:footnote>
  <w:footnote w:id="32">
    <w:p w14:paraId="53FD1490" w14:textId="4969C276"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9D0EC5" w:rsidRPr="00E80C1E">
        <w:rPr>
          <w:szCs w:val="16"/>
          <w:lang w:val="fr-CA"/>
        </w:rPr>
        <w:t xml:space="preserve">Une autre approche fréquemment utilisée consiste à formuler </w:t>
      </w:r>
      <w:r w:rsidR="000B6CF1" w:rsidRPr="00E80C1E">
        <w:rPr>
          <w:szCs w:val="16"/>
          <w:lang w:val="fr-CA"/>
        </w:rPr>
        <w:t>une exigence plutôt qu’une norme d’efforts raisonnables</w:t>
      </w:r>
      <w:r w:rsidRPr="00E80C1E">
        <w:rPr>
          <w:szCs w:val="16"/>
          <w:lang w:val="fr-CA"/>
        </w:rPr>
        <w:t xml:space="preserve">. </w:t>
      </w:r>
      <w:r w:rsidR="001F7454">
        <w:rPr>
          <w:szCs w:val="16"/>
          <w:lang w:val="fr-CA"/>
        </w:rPr>
        <w:t>Une disposition</w:t>
      </w:r>
      <w:r w:rsidR="009D0EC5" w:rsidRPr="00E80C1E">
        <w:rPr>
          <w:szCs w:val="16"/>
          <w:lang w:val="fr-CA"/>
        </w:rPr>
        <w:t xml:space="preserve"> </w:t>
      </w:r>
      <w:r w:rsidR="00366955">
        <w:rPr>
          <w:szCs w:val="16"/>
          <w:lang w:val="fr-CA"/>
        </w:rPr>
        <w:t xml:space="preserve">ainsi formulée </w:t>
      </w:r>
      <w:r w:rsidR="000B6CF1" w:rsidRPr="00E80C1E">
        <w:rPr>
          <w:szCs w:val="16"/>
          <w:lang w:val="fr-CA"/>
        </w:rPr>
        <w:t xml:space="preserve">peut poser problème en ce sens que si les actionnaires importants </w:t>
      </w:r>
      <w:r w:rsidR="009D0EC5" w:rsidRPr="00E80C1E">
        <w:rPr>
          <w:szCs w:val="16"/>
          <w:lang w:val="fr-CA"/>
        </w:rPr>
        <w:t xml:space="preserve">ne sont pas tous partie à la présente Convention ou par ailleurs assujettis aux mêmes restrictions, l’impossibilité d’obtenir une convention de blocage ne serait-ce que d’un seul d’entre eux pourrait invalider la disposition </w:t>
      </w:r>
      <w:r w:rsidR="00365C77" w:rsidRPr="00E80C1E">
        <w:rPr>
          <w:szCs w:val="16"/>
          <w:lang w:val="fr-CA"/>
        </w:rPr>
        <w:t>en entier</w:t>
      </w:r>
      <w:r w:rsidRPr="00E80C1E">
        <w:rPr>
          <w:szCs w:val="16"/>
          <w:lang w:val="fr-CA"/>
        </w:rPr>
        <w:t xml:space="preserve">. </w:t>
      </w:r>
      <w:r w:rsidR="00365C77" w:rsidRPr="00E80C1E">
        <w:rPr>
          <w:szCs w:val="16"/>
          <w:lang w:val="fr-CA"/>
        </w:rPr>
        <w:t xml:space="preserve">On peut aussi envisager d’inclure une clause exigeant que tous les actionnaires futurs signent une convention de restriction de la négociation sur le marché semblable. </w:t>
      </w:r>
      <w:r w:rsidR="00365C77" w:rsidRPr="009D4254">
        <w:rPr>
          <w:szCs w:val="16"/>
          <w:lang w:val="fr-CA"/>
        </w:rPr>
        <w:t xml:space="preserve">À des fins de comparaison, voir le </w:t>
      </w:r>
      <w:r w:rsidR="00365C77" w:rsidRPr="009D4254">
        <w:rPr>
          <w:szCs w:val="16"/>
          <w:u w:val="single"/>
          <w:lang w:val="fr-CA"/>
        </w:rPr>
        <w:t>paragraphe</w:t>
      </w:r>
      <w:r w:rsidR="00365C77" w:rsidRPr="00E80C1E">
        <w:rPr>
          <w:szCs w:val="16"/>
          <w:u w:val="single"/>
          <w:lang w:val="fr-CA"/>
        </w:rPr>
        <w:t> </w:t>
      </w:r>
      <w:r w:rsidRPr="00986BEB">
        <w:rPr>
          <w:szCs w:val="16"/>
          <w:u w:val="single"/>
          <w:lang w:val="fr-CA"/>
        </w:rPr>
        <w:fldChar w:fldCharType="begin"/>
      </w:r>
      <w:r w:rsidRPr="00986BEB">
        <w:rPr>
          <w:szCs w:val="16"/>
          <w:u w:val="single"/>
          <w:lang w:val="fr-CA"/>
        </w:rPr>
        <w:instrText xml:space="preserve">  REF _Ref448380639 \w \h \* MERGEFORMAT </w:instrText>
      </w:r>
      <w:r w:rsidRPr="00986BEB">
        <w:rPr>
          <w:szCs w:val="16"/>
          <w:u w:val="single"/>
          <w:lang w:val="fr-CA"/>
        </w:rPr>
      </w:r>
      <w:r w:rsidRPr="00986BEB">
        <w:rPr>
          <w:szCs w:val="16"/>
          <w:u w:val="single"/>
          <w:lang w:val="fr-CA"/>
        </w:rPr>
        <w:fldChar w:fldCharType="separate"/>
      </w:r>
      <w:r w:rsidR="00AE1D96" w:rsidRPr="00AE1D96">
        <w:rPr>
          <w:color w:val="000000"/>
          <w:szCs w:val="16"/>
          <w:u w:val="single"/>
          <w:lang w:val="fr-CA"/>
        </w:rPr>
        <w:t>5.3</w:t>
      </w:r>
      <w:r w:rsidRPr="00986BEB">
        <w:rPr>
          <w:szCs w:val="16"/>
          <w:u w:val="single"/>
          <w:lang w:val="fr-CA"/>
        </w:rPr>
        <w:fldChar w:fldCharType="end"/>
      </w:r>
      <w:r w:rsidRPr="009D4254">
        <w:rPr>
          <w:szCs w:val="16"/>
          <w:lang w:val="fr-CA"/>
        </w:rPr>
        <w:t xml:space="preserve">, </w:t>
      </w:r>
      <w:r w:rsidR="00365C77" w:rsidRPr="009D4254">
        <w:rPr>
          <w:szCs w:val="16"/>
          <w:lang w:val="fr-CA"/>
        </w:rPr>
        <w:t>qui s’applique uniquement aux employés</w:t>
      </w:r>
      <w:r w:rsidRPr="009D4254">
        <w:rPr>
          <w:szCs w:val="16"/>
          <w:lang w:val="fr-CA"/>
        </w:rPr>
        <w:t>.</w:t>
      </w:r>
    </w:p>
  </w:footnote>
  <w:footnote w:id="33">
    <w:p w14:paraId="25E6FD2B" w14:textId="59C8E9E0" w:rsidR="00F56D04" w:rsidRPr="00E80C1E" w:rsidRDefault="00F56D04" w:rsidP="00F56D04">
      <w:pPr>
        <w:pStyle w:val="FootnoteText"/>
        <w:rPr>
          <w:lang w:val="fr-CA"/>
        </w:rPr>
      </w:pPr>
      <w:r w:rsidRPr="00986BEB">
        <w:rPr>
          <w:rStyle w:val="FootnoteReference"/>
          <w:lang w:val="fr-CA"/>
        </w:rPr>
        <w:footnoteRef/>
      </w:r>
      <w:r w:rsidRPr="00E80C1E">
        <w:rPr>
          <w:lang w:val="fr-CA"/>
        </w:rPr>
        <w:t xml:space="preserve"> Des seuils </w:t>
      </w:r>
      <w:r w:rsidRPr="00E80C1E">
        <w:rPr>
          <w:i/>
          <w:lang w:val="fr-CA"/>
        </w:rPr>
        <w:t>de minimis</w:t>
      </w:r>
      <w:r w:rsidRPr="00E80C1E">
        <w:rPr>
          <w:lang w:val="fr-CA"/>
        </w:rPr>
        <w:t xml:space="preserve"> sont parfois négociés afin que les petits actionnaires qui sont des employés et qui ont besoin de liquidités puissent être libérés sans éliminer tous les blocages et </w:t>
      </w:r>
      <w:r w:rsidR="000168B0" w:rsidRPr="00933DD4">
        <w:rPr>
          <w:lang w:val="fr-CA"/>
        </w:rPr>
        <w:t>nuire au</w:t>
      </w:r>
      <w:r w:rsidRPr="00E80C1E">
        <w:rPr>
          <w:lang w:val="fr-CA"/>
        </w:rPr>
        <w:t xml:space="preserve"> placement. Notez toutefois que, dans certains PAPE réalisés récemment, </w:t>
      </w:r>
      <w:r w:rsidR="00B37ED4">
        <w:rPr>
          <w:lang w:val="fr-CA"/>
        </w:rPr>
        <w:t xml:space="preserve">il est arrivé </w:t>
      </w:r>
      <w:r w:rsidR="00933DD4">
        <w:rPr>
          <w:lang w:val="fr-CA"/>
        </w:rPr>
        <w:t xml:space="preserve">que </w:t>
      </w:r>
      <w:r w:rsidR="00B37ED4">
        <w:rPr>
          <w:lang w:val="fr-CA"/>
        </w:rPr>
        <w:t>d</w:t>
      </w:r>
      <w:r w:rsidR="000168B0">
        <w:rPr>
          <w:lang w:val="fr-CA"/>
        </w:rPr>
        <w:t>es</w:t>
      </w:r>
      <w:r w:rsidRPr="00E80C1E">
        <w:rPr>
          <w:lang w:val="fr-CA"/>
        </w:rPr>
        <w:t xml:space="preserve"> preneurs fermes </w:t>
      </w:r>
      <w:r w:rsidR="00B37ED4">
        <w:rPr>
          <w:lang w:val="fr-CA"/>
        </w:rPr>
        <w:t xml:space="preserve">s’opposent </w:t>
      </w:r>
      <w:r w:rsidRPr="00E80C1E">
        <w:rPr>
          <w:lang w:val="fr-CA"/>
        </w:rPr>
        <w:t>à ce que les petits porteurs ne soient pas assujettis à des blocages</w:t>
      </w:r>
      <w:r w:rsidR="000168B0">
        <w:rPr>
          <w:lang w:val="fr-CA"/>
        </w:rPr>
        <w:t xml:space="preserve"> et </w:t>
      </w:r>
      <w:r w:rsidR="00B37ED4">
        <w:rPr>
          <w:lang w:val="fr-CA"/>
        </w:rPr>
        <w:t>que d</w:t>
      </w:r>
      <w:r w:rsidRPr="00E80C1E">
        <w:rPr>
          <w:lang w:val="fr-CA"/>
        </w:rPr>
        <w:t xml:space="preserve">es fonds </w:t>
      </w:r>
      <w:r w:rsidR="00B37ED4">
        <w:rPr>
          <w:lang w:val="fr-CA"/>
        </w:rPr>
        <w:t>imposent</w:t>
      </w:r>
      <w:r w:rsidR="000168B0">
        <w:rPr>
          <w:lang w:val="fr-CA"/>
        </w:rPr>
        <w:t xml:space="preserve"> des blocages à </w:t>
      </w:r>
      <w:r w:rsidRPr="00E80C1E">
        <w:rPr>
          <w:lang w:val="fr-CA"/>
        </w:rPr>
        <w:t xml:space="preserve">tous les actionnaires. Les avocats doivent savoir que même si la dernière phrase entre crochets est incluse dans la présente Convention, certains preneurs fermes </w:t>
      </w:r>
      <w:r w:rsidR="00B37ED4">
        <w:rPr>
          <w:lang w:val="fr-CA"/>
        </w:rPr>
        <w:t>refuseront d’</w:t>
      </w:r>
      <w:r w:rsidRPr="00E80C1E">
        <w:rPr>
          <w:lang w:val="fr-CA"/>
        </w:rPr>
        <w:t>inclure une clause semblable au sujet des renonciations discrétionnaires dans les conventions de blocage qu’ils exigent dans le cadre d’un PAPE. Les investisseurs qui bénéficient de la clause entre crochets pourraient être peu enclins à accepter une convention de blocage moins favorable, ce qui pourrait constituer un obstacle au succès du PAPE.</w:t>
      </w:r>
    </w:p>
  </w:footnote>
  <w:footnote w:id="34">
    <w:p w14:paraId="4A8EFAC0" w14:textId="2D7680C7"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365C77" w:rsidRPr="00E80C1E">
        <w:rPr>
          <w:szCs w:val="16"/>
          <w:lang w:val="fr-CA"/>
        </w:rPr>
        <w:t>La présente Convention</w:t>
      </w:r>
      <w:r w:rsidRPr="00E80C1E">
        <w:rPr>
          <w:szCs w:val="16"/>
          <w:lang w:val="fr-CA"/>
        </w:rPr>
        <w:t xml:space="preserve"> </w:t>
      </w:r>
      <w:r w:rsidR="00365C77" w:rsidRPr="00E80C1E">
        <w:rPr>
          <w:szCs w:val="16"/>
          <w:lang w:val="fr-CA"/>
        </w:rPr>
        <w:t xml:space="preserve">n’interdit pas le transfert de </w:t>
      </w:r>
      <w:r w:rsidR="00280F12" w:rsidRPr="00E80C1E">
        <w:rPr>
          <w:szCs w:val="16"/>
          <w:lang w:val="fr-CA"/>
        </w:rPr>
        <w:t>Titres à inscrire</w:t>
      </w:r>
      <w:r w:rsidRPr="00E80C1E">
        <w:rPr>
          <w:szCs w:val="16"/>
          <w:lang w:val="fr-CA"/>
        </w:rPr>
        <w:t xml:space="preserve"> </w:t>
      </w:r>
      <w:r w:rsidR="00365C77" w:rsidRPr="00E80C1E">
        <w:rPr>
          <w:szCs w:val="16"/>
          <w:lang w:val="fr-CA"/>
        </w:rPr>
        <w:t>à quiconque, y compris à des concurrents</w:t>
      </w:r>
      <w:r w:rsidRPr="00E80C1E">
        <w:rPr>
          <w:szCs w:val="16"/>
          <w:lang w:val="fr-CA"/>
        </w:rPr>
        <w:t xml:space="preserve">. </w:t>
      </w:r>
      <w:r w:rsidR="00365C77" w:rsidRPr="00E80C1E">
        <w:rPr>
          <w:szCs w:val="16"/>
          <w:lang w:val="fr-CA"/>
        </w:rPr>
        <w:t xml:space="preserve">Les sociétés canadiennes accordent habituellement un « droit de premier refus » à l’égard des transferts en leur faveur ou en faveur d’autres investisseurs ou de </w:t>
      </w:r>
      <w:r w:rsidR="002A0F83" w:rsidRPr="00E80C1E">
        <w:rPr>
          <w:szCs w:val="16"/>
          <w:lang w:val="fr-CA"/>
        </w:rPr>
        <w:t>Porteurs clés</w:t>
      </w:r>
      <w:r w:rsidRPr="00E80C1E">
        <w:rPr>
          <w:szCs w:val="16"/>
          <w:lang w:val="fr-CA"/>
        </w:rPr>
        <w:t xml:space="preserve">. </w:t>
      </w:r>
      <w:r w:rsidR="00842C75">
        <w:rPr>
          <w:szCs w:val="16"/>
          <w:lang w:val="fr-CA"/>
        </w:rPr>
        <w:t>Lorsqu’une</w:t>
      </w:r>
      <w:r w:rsidR="00365C77" w:rsidRPr="00E80C1E">
        <w:rPr>
          <w:szCs w:val="16"/>
          <w:lang w:val="fr-CA"/>
        </w:rPr>
        <w:t xml:space="preserve"> vente ou </w:t>
      </w:r>
      <w:r w:rsidR="00842C75">
        <w:rPr>
          <w:szCs w:val="16"/>
          <w:lang w:val="fr-CA"/>
        </w:rPr>
        <w:t>un</w:t>
      </w:r>
      <w:r w:rsidR="00365C77" w:rsidRPr="00E80C1E">
        <w:rPr>
          <w:szCs w:val="16"/>
          <w:lang w:val="fr-CA"/>
        </w:rPr>
        <w:t xml:space="preserve"> </w:t>
      </w:r>
      <w:r w:rsidR="00842C75">
        <w:rPr>
          <w:szCs w:val="16"/>
          <w:lang w:val="fr-CA"/>
        </w:rPr>
        <w:t>transfert est proposé</w:t>
      </w:r>
      <w:r w:rsidR="00365C77" w:rsidRPr="00E80C1E">
        <w:rPr>
          <w:szCs w:val="16"/>
          <w:lang w:val="fr-CA"/>
        </w:rPr>
        <w:t>, des règles spéciales limitent parfois les transferts à des concurrents</w:t>
      </w:r>
      <w:r w:rsidRPr="00E80C1E">
        <w:rPr>
          <w:szCs w:val="16"/>
          <w:lang w:val="fr-CA"/>
        </w:rPr>
        <w:t xml:space="preserve">. </w:t>
      </w:r>
      <w:r w:rsidR="00365C77" w:rsidRPr="00E80C1E">
        <w:rPr>
          <w:szCs w:val="16"/>
          <w:lang w:val="fr-CA"/>
        </w:rPr>
        <w:t>Voir également les paragraphes </w:t>
      </w:r>
      <w:r w:rsidR="00842C75" w:rsidRPr="00986BEB">
        <w:rPr>
          <w:szCs w:val="16"/>
          <w:lang w:val="fr-CA"/>
        </w:rPr>
        <w:fldChar w:fldCharType="begin"/>
      </w:r>
      <w:r w:rsidR="00842C75" w:rsidRPr="00986BEB">
        <w:rPr>
          <w:szCs w:val="16"/>
          <w:lang w:val="fr-CA"/>
        </w:rPr>
        <w:instrText xml:space="preserve"> REF _Ref118363317 \r \h </w:instrText>
      </w:r>
      <w:r w:rsidR="00842C75" w:rsidRPr="00986BEB">
        <w:rPr>
          <w:szCs w:val="16"/>
          <w:lang w:val="fr-CA"/>
        </w:rPr>
      </w:r>
      <w:r w:rsidR="00842C75" w:rsidRPr="00986BEB">
        <w:rPr>
          <w:szCs w:val="16"/>
          <w:lang w:val="fr-CA"/>
        </w:rPr>
        <w:fldChar w:fldCharType="separate"/>
      </w:r>
      <w:r w:rsidR="00AE1D96">
        <w:rPr>
          <w:szCs w:val="16"/>
          <w:lang w:val="fr-CA"/>
        </w:rPr>
        <w:t>3.1</w:t>
      </w:r>
      <w:r w:rsidR="00842C75" w:rsidRPr="00986BEB">
        <w:rPr>
          <w:szCs w:val="16"/>
          <w:lang w:val="fr-CA"/>
        </w:rPr>
        <w:fldChar w:fldCharType="end"/>
      </w:r>
      <w:r w:rsidRPr="009D4254">
        <w:rPr>
          <w:szCs w:val="16"/>
          <w:lang w:val="fr-CA"/>
        </w:rPr>
        <w:t xml:space="preserve">, </w:t>
      </w:r>
      <w:r w:rsidRPr="00986BEB">
        <w:rPr>
          <w:szCs w:val="16"/>
          <w:lang w:val="fr-CA"/>
        </w:rPr>
        <w:fldChar w:fldCharType="begin"/>
      </w:r>
      <w:r w:rsidRPr="00986BEB">
        <w:rPr>
          <w:szCs w:val="16"/>
          <w:lang w:val="fr-CA"/>
        </w:rPr>
        <w:instrText xml:space="preserve">  REF _Ref448380622 \w \h \* MERGEFORMAT </w:instrText>
      </w:r>
      <w:r w:rsidRPr="00986BEB">
        <w:rPr>
          <w:szCs w:val="16"/>
          <w:lang w:val="fr-CA"/>
        </w:rPr>
      </w:r>
      <w:r w:rsidRPr="00986BEB">
        <w:rPr>
          <w:szCs w:val="16"/>
          <w:lang w:val="fr-CA"/>
        </w:rPr>
        <w:fldChar w:fldCharType="separate"/>
      </w:r>
      <w:r w:rsidR="00AE1D96" w:rsidRPr="00AE1D96">
        <w:rPr>
          <w:color w:val="000000"/>
          <w:szCs w:val="16"/>
          <w:lang w:val="fr-CA"/>
        </w:rPr>
        <w:t>3.2</w:t>
      </w:r>
      <w:r w:rsidRPr="00986BEB">
        <w:rPr>
          <w:szCs w:val="16"/>
          <w:lang w:val="fr-CA"/>
        </w:rPr>
        <w:fldChar w:fldCharType="end"/>
      </w:r>
      <w:r w:rsidRPr="009D4254">
        <w:rPr>
          <w:szCs w:val="16"/>
          <w:lang w:val="fr-CA"/>
        </w:rPr>
        <w:t xml:space="preserve"> </w:t>
      </w:r>
      <w:r w:rsidR="00365C77" w:rsidRPr="009D4254">
        <w:rPr>
          <w:szCs w:val="16"/>
          <w:lang w:val="fr-CA"/>
        </w:rPr>
        <w:t>et</w:t>
      </w:r>
      <w:r w:rsidRPr="009D4254">
        <w:rPr>
          <w:szCs w:val="16"/>
          <w:lang w:val="fr-CA"/>
        </w:rPr>
        <w:t xml:space="preserve"> </w:t>
      </w:r>
      <w:r w:rsidRPr="00986BEB">
        <w:rPr>
          <w:szCs w:val="16"/>
          <w:lang w:val="fr-CA"/>
        </w:rPr>
        <w:fldChar w:fldCharType="begin"/>
      </w:r>
      <w:r w:rsidRPr="00986BEB">
        <w:rPr>
          <w:szCs w:val="16"/>
          <w:lang w:val="fr-CA"/>
        </w:rPr>
        <w:instrText xml:space="preserve">  REF _Ref448380623 \w \h \* MERGEFORMAT </w:instrText>
      </w:r>
      <w:r w:rsidRPr="00986BEB">
        <w:rPr>
          <w:szCs w:val="16"/>
          <w:lang w:val="fr-CA"/>
        </w:rPr>
      </w:r>
      <w:r w:rsidRPr="00986BEB">
        <w:rPr>
          <w:szCs w:val="16"/>
          <w:lang w:val="fr-CA"/>
        </w:rPr>
        <w:fldChar w:fldCharType="separate"/>
      </w:r>
      <w:r w:rsidR="00AE1D96" w:rsidRPr="00AE1D96">
        <w:rPr>
          <w:color w:val="000000"/>
          <w:szCs w:val="16"/>
          <w:lang w:val="fr-CA"/>
        </w:rPr>
        <w:t>3.3</w:t>
      </w:r>
      <w:r w:rsidRPr="00986BEB">
        <w:rPr>
          <w:szCs w:val="16"/>
          <w:lang w:val="fr-CA"/>
        </w:rPr>
        <w:fldChar w:fldCharType="end"/>
      </w:r>
      <w:r w:rsidRPr="009D4254">
        <w:rPr>
          <w:szCs w:val="16"/>
          <w:lang w:val="fr-CA"/>
        </w:rPr>
        <w:t>.</w:t>
      </w:r>
      <w:r w:rsidRPr="00E80C1E">
        <w:rPr>
          <w:szCs w:val="16"/>
          <w:lang w:val="fr-CA"/>
        </w:rPr>
        <w:t xml:space="preserve"> </w:t>
      </w:r>
      <w:r w:rsidR="00365C77" w:rsidRPr="00E80C1E">
        <w:rPr>
          <w:szCs w:val="16"/>
          <w:lang w:val="fr-CA"/>
        </w:rPr>
        <w:t xml:space="preserve">Notez aussi que les Statuts de sociétés canadiennes contiennent souvent des restrictions au transfert auxquelles tous les actionnaires sont assujettis </w:t>
      </w:r>
      <w:r w:rsidRPr="00E80C1E">
        <w:rPr>
          <w:szCs w:val="16"/>
          <w:lang w:val="fr-CA"/>
        </w:rPr>
        <w:t>(</w:t>
      </w:r>
      <w:r w:rsidR="00365C77" w:rsidRPr="00E80C1E">
        <w:rPr>
          <w:szCs w:val="16"/>
          <w:lang w:val="fr-CA"/>
        </w:rPr>
        <w:t xml:space="preserve">p. ex. des exigences d’approbation </w:t>
      </w:r>
      <w:r w:rsidR="00842C75">
        <w:rPr>
          <w:szCs w:val="16"/>
          <w:lang w:val="fr-CA"/>
        </w:rPr>
        <w:t xml:space="preserve">des transferts par les </w:t>
      </w:r>
      <w:r w:rsidR="00365C77" w:rsidRPr="00E80C1E">
        <w:rPr>
          <w:szCs w:val="16"/>
          <w:lang w:val="fr-CA"/>
        </w:rPr>
        <w:t xml:space="preserve">administrateurs ou </w:t>
      </w:r>
      <w:r w:rsidR="00842C75">
        <w:rPr>
          <w:szCs w:val="16"/>
          <w:lang w:val="fr-CA"/>
        </w:rPr>
        <w:t>l</w:t>
      </w:r>
      <w:r w:rsidR="00365C77" w:rsidRPr="00E80C1E">
        <w:rPr>
          <w:szCs w:val="16"/>
          <w:lang w:val="fr-CA"/>
        </w:rPr>
        <w:t>es actionnaires</w:t>
      </w:r>
      <w:r w:rsidRPr="00E80C1E">
        <w:rPr>
          <w:szCs w:val="16"/>
          <w:lang w:val="fr-CA"/>
        </w:rPr>
        <w:t>).</w:t>
      </w:r>
    </w:p>
  </w:footnote>
  <w:footnote w:id="35">
    <w:p w14:paraId="6A367748" w14:textId="220E2245"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365C77" w:rsidRPr="00E80C1E">
        <w:rPr>
          <w:szCs w:val="16"/>
          <w:lang w:val="fr-CA"/>
        </w:rPr>
        <w:t>La date du placement correspond à la date à laquelle le titre a été émis pour la première fois</w:t>
      </w:r>
      <w:r w:rsidRPr="009D4254">
        <w:rPr>
          <w:szCs w:val="16"/>
          <w:lang w:val="fr-CA"/>
        </w:rPr>
        <w:t>.</w:t>
      </w:r>
      <w:r w:rsidRPr="00E80C1E">
        <w:rPr>
          <w:szCs w:val="16"/>
          <w:lang w:val="fr-CA"/>
        </w:rPr>
        <w:t xml:space="preserve"> </w:t>
      </w:r>
      <w:r w:rsidR="00365C77" w:rsidRPr="009D4254">
        <w:rPr>
          <w:szCs w:val="16"/>
          <w:lang w:val="fr-CA"/>
        </w:rPr>
        <w:t>Voir le Règlement </w:t>
      </w:r>
      <w:r w:rsidRPr="00986BEB">
        <w:rPr>
          <w:szCs w:val="16"/>
          <w:lang w:val="fr-CA"/>
        </w:rPr>
        <w:t>45-106</w:t>
      </w:r>
      <w:r w:rsidRPr="009D4254">
        <w:rPr>
          <w:szCs w:val="16"/>
          <w:lang w:val="fr-CA"/>
        </w:rPr>
        <w:t>.</w:t>
      </w:r>
    </w:p>
  </w:footnote>
  <w:footnote w:id="36">
    <w:p w14:paraId="468AF5B3" w14:textId="7E12211B"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D40EFF" w:rsidRPr="00E80C1E">
        <w:rPr>
          <w:lang w:val="fr-CA"/>
        </w:rPr>
        <w:t xml:space="preserve">Cette clause vise à préserver les droits d’inscription des porteurs importants qui peuvent être assujettis à des blocages </w:t>
      </w:r>
      <w:r w:rsidR="00282C2D">
        <w:rPr>
          <w:lang w:val="fr-CA"/>
        </w:rPr>
        <w:t>et</w:t>
      </w:r>
      <w:r w:rsidR="00D40EFF" w:rsidRPr="00E80C1E">
        <w:rPr>
          <w:lang w:val="fr-CA"/>
        </w:rPr>
        <w:t xml:space="preserve"> à d’autres contraintes en matière de transfert, notamment des limites de volume </w:t>
      </w:r>
      <w:r w:rsidRPr="00E80C1E">
        <w:rPr>
          <w:lang w:val="fr-CA"/>
        </w:rPr>
        <w:t>et/ou</w:t>
      </w:r>
      <w:r w:rsidR="00EB41A0" w:rsidRPr="00E80C1E">
        <w:rPr>
          <w:lang w:val="fr-CA"/>
        </w:rPr>
        <w:t xml:space="preserve"> </w:t>
      </w:r>
      <w:r w:rsidR="00D40EFF" w:rsidRPr="00E80C1E">
        <w:rPr>
          <w:lang w:val="fr-CA"/>
        </w:rPr>
        <w:t xml:space="preserve">des </w:t>
      </w:r>
      <w:r w:rsidR="0095636C">
        <w:rPr>
          <w:lang w:val="fr-CA"/>
        </w:rPr>
        <w:t>volumes anormalement élevés</w:t>
      </w:r>
      <w:r w:rsidR="00EB41A0" w:rsidRPr="00E80C1E">
        <w:rPr>
          <w:lang w:val="fr-CA"/>
        </w:rPr>
        <w:t xml:space="preserve">. </w:t>
      </w:r>
      <w:r w:rsidR="00D40EFF" w:rsidRPr="009D4254">
        <w:rPr>
          <w:lang w:val="fr-CA"/>
        </w:rPr>
        <w:t>Voir également la note</w:t>
      </w:r>
      <w:r w:rsidR="00D40EFF" w:rsidRPr="00E80C1E">
        <w:rPr>
          <w:lang w:val="fr-CA"/>
        </w:rPr>
        <w:t> </w:t>
      </w:r>
      <w:r w:rsidR="00EB41A0" w:rsidRPr="00986BEB">
        <w:rPr>
          <w:lang w:val="fr-CA"/>
        </w:rPr>
        <w:fldChar w:fldCharType="begin"/>
      </w:r>
      <w:r w:rsidR="00EB41A0" w:rsidRPr="00986BEB">
        <w:rPr>
          <w:lang w:val="fr-CA"/>
        </w:rPr>
        <w:instrText xml:space="preserve"> NOTEREF _Ref448380706 \h  \* MERGEFORMAT </w:instrText>
      </w:r>
      <w:r w:rsidR="00EB41A0" w:rsidRPr="00986BEB">
        <w:rPr>
          <w:lang w:val="fr-CA"/>
        </w:rPr>
      </w:r>
      <w:r w:rsidR="00EB41A0" w:rsidRPr="00986BEB">
        <w:rPr>
          <w:lang w:val="fr-CA"/>
        </w:rPr>
        <w:fldChar w:fldCharType="separate"/>
      </w:r>
      <w:r w:rsidR="00AE1D96">
        <w:rPr>
          <w:lang w:val="fr-CA"/>
        </w:rPr>
        <w:t>37</w:t>
      </w:r>
      <w:r w:rsidR="00EB41A0" w:rsidRPr="00986BEB">
        <w:rPr>
          <w:lang w:val="fr-CA"/>
        </w:rPr>
        <w:fldChar w:fldCharType="end"/>
      </w:r>
      <w:r w:rsidRPr="00E80C1E">
        <w:rPr>
          <w:lang w:val="fr-CA"/>
        </w:rPr>
        <w:t>.</w:t>
      </w:r>
    </w:p>
  </w:footnote>
  <w:footnote w:id="37">
    <w:p w14:paraId="5C00A71F" w14:textId="7515900B"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D40EFF" w:rsidRPr="00E80C1E">
        <w:rPr>
          <w:szCs w:val="16"/>
          <w:lang w:val="fr-CA"/>
        </w:rPr>
        <w:t xml:space="preserve">Les investisseurs doivent connaître les définitions qui prévoient que les actions </w:t>
      </w:r>
      <w:r w:rsidR="00152515">
        <w:rPr>
          <w:szCs w:val="16"/>
          <w:lang w:val="fr-CA"/>
        </w:rPr>
        <w:t xml:space="preserve">ne peuvent plus </w:t>
      </w:r>
      <w:r w:rsidR="00D40EFF" w:rsidRPr="00E80C1E">
        <w:rPr>
          <w:szCs w:val="16"/>
          <w:lang w:val="fr-CA"/>
        </w:rPr>
        <w:t xml:space="preserve">être inscrites lorsqu’elles « peuvent » être vendues dans le public aux termes des lois sur les valeurs mobilières américaines sans </w:t>
      </w:r>
      <w:r w:rsidR="00FA624D">
        <w:rPr>
          <w:szCs w:val="16"/>
          <w:lang w:val="fr-CA"/>
        </w:rPr>
        <w:t>limite de volume</w:t>
      </w:r>
      <w:r w:rsidR="00D40EFF" w:rsidRPr="00E80C1E">
        <w:rPr>
          <w:szCs w:val="16"/>
          <w:lang w:val="fr-CA"/>
        </w:rPr>
        <w:t xml:space="preserve"> </w:t>
      </w:r>
      <w:r w:rsidRPr="00E80C1E">
        <w:rPr>
          <w:szCs w:val="16"/>
          <w:lang w:val="fr-CA"/>
        </w:rPr>
        <w:t>(</w:t>
      </w:r>
      <w:r w:rsidR="00D40EFF" w:rsidRPr="00E80C1E">
        <w:rPr>
          <w:szCs w:val="16"/>
          <w:lang w:val="fr-CA"/>
        </w:rPr>
        <w:t>le plus souvent dans le contexte de la Règle</w:t>
      </w:r>
      <w:bookmarkStart w:id="221" w:name="DocXTextRef182"/>
      <w:r w:rsidR="00D40EFF" w:rsidRPr="00E80C1E">
        <w:rPr>
          <w:szCs w:val="16"/>
          <w:lang w:val="fr-CA"/>
        </w:rPr>
        <w:t> </w:t>
      </w:r>
      <w:r w:rsidRPr="00986BEB">
        <w:rPr>
          <w:szCs w:val="16"/>
          <w:lang w:val="fr-CA"/>
        </w:rPr>
        <w:t>144</w:t>
      </w:r>
      <w:bookmarkEnd w:id="221"/>
      <w:r w:rsidRPr="00E80C1E">
        <w:rPr>
          <w:szCs w:val="16"/>
          <w:lang w:val="fr-CA"/>
        </w:rPr>
        <w:t xml:space="preserve">) </w:t>
      </w:r>
      <w:r w:rsidR="00D40EFF" w:rsidRPr="00E80C1E">
        <w:rPr>
          <w:szCs w:val="16"/>
          <w:lang w:val="fr-CA"/>
        </w:rPr>
        <w:t xml:space="preserve">et aux termes des lois sur les valeurs mobilières canadiennes sans que </w:t>
      </w:r>
      <w:r w:rsidR="00BA11D1">
        <w:rPr>
          <w:szCs w:val="16"/>
          <w:lang w:val="fr-CA"/>
        </w:rPr>
        <w:t xml:space="preserve">cette </w:t>
      </w:r>
      <w:r w:rsidR="00152515">
        <w:rPr>
          <w:szCs w:val="16"/>
          <w:lang w:val="fr-CA"/>
        </w:rPr>
        <w:t>vente</w:t>
      </w:r>
      <w:r w:rsidR="00D40EFF" w:rsidRPr="00E80C1E">
        <w:rPr>
          <w:szCs w:val="16"/>
          <w:lang w:val="fr-CA"/>
        </w:rPr>
        <w:t xml:space="preserve"> soit considérée comme un placement aux termes du Règlement </w:t>
      </w:r>
      <w:r w:rsidRPr="00986BEB">
        <w:rPr>
          <w:szCs w:val="16"/>
          <w:lang w:val="fr-CA"/>
        </w:rPr>
        <w:t>45</w:t>
      </w:r>
      <w:r w:rsidR="00BA11D1" w:rsidRPr="00986BEB">
        <w:rPr>
          <w:szCs w:val="16"/>
          <w:lang w:val="fr-CA"/>
        </w:rPr>
        <w:noBreakHyphen/>
      </w:r>
      <w:r w:rsidRPr="00986BEB">
        <w:rPr>
          <w:szCs w:val="16"/>
          <w:lang w:val="fr-CA"/>
        </w:rPr>
        <w:t>102</w:t>
      </w:r>
      <w:r w:rsidRPr="00E80C1E">
        <w:rPr>
          <w:szCs w:val="16"/>
          <w:lang w:val="fr-CA"/>
        </w:rPr>
        <w:t xml:space="preserve">. </w:t>
      </w:r>
      <w:r w:rsidR="00D40EFF" w:rsidRPr="00E80C1E">
        <w:rPr>
          <w:szCs w:val="16"/>
          <w:lang w:val="fr-CA"/>
        </w:rPr>
        <w:t xml:space="preserve">Les investisseurs pourraient ne pas être d’accord avec cette </w:t>
      </w:r>
      <w:r w:rsidR="00164514">
        <w:rPr>
          <w:szCs w:val="16"/>
          <w:lang w:val="fr-CA"/>
        </w:rPr>
        <w:t>variante</w:t>
      </w:r>
      <w:r w:rsidR="00D40EFF" w:rsidRPr="00E80C1E">
        <w:rPr>
          <w:szCs w:val="16"/>
          <w:lang w:val="fr-CA"/>
        </w:rPr>
        <w:t xml:space="preserve"> pour plusieurs raisons</w:t>
      </w:r>
      <w:r w:rsidRPr="00E80C1E">
        <w:rPr>
          <w:szCs w:val="16"/>
          <w:lang w:val="fr-CA"/>
        </w:rPr>
        <w:t xml:space="preserve">. </w:t>
      </w:r>
      <w:r w:rsidR="00D40EFF" w:rsidRPr="00E80C1E">
        <w:rPr>
          <w:szCs w:val="16"/>
          <w:lang w:val="fr-CA"/>
        </w:rPr>
        <w:t xml:space="preserve">Premièrement, les investisseurs négocient des droits </w:t>
      </w:r>
      <w:r w:rsidR="00BA11D1">
        <w:rPr>
          <w:szCs w:val="16"/>
          <w:lang w:val="fr-CA"/>
        </w:rPr>
        <w:t>d’inscription</w:t>
      </w:r>
      <w:r w:rsidR="00D40EFF" w:rsidRPr="00E80C1E">
        <w:rPr>
          <w:szCs w:val="16"/>
          <w:lang w:val="fr-CA"/>
        </w:rPr>
        <w:t xml:space="preserve"> précisément dans le but </w:t>
      </w:r>
      <w:r w:rsidR="00BA11D1">
        <w:rPr>
          <w:szCs w:val="16"/>
          <w:lang w:val="fr-CA"/>
        </w:rPr>
        <w:t xml:space="preserve">d’avoir la possibilité de </w:t>
      </w:r>
      <w:r w:rsidR="00D40EFF" w:rsidRPr="00E80C1E">
        <w:rPr>
          <w:szCs w:val="16"/>
          <w:lang w:val="fr-CA"/>
        </w:rPr>
        <w:t>se dessaisir de leur investissement de manière ordonnée au moyen d’une opération commercialisée, et les dispenses prévues par la Règle </w:t>
      </w:r>
      <w:r w:rsidR="00D40EFF" w:rsidRPr="00986BEB">
        <w:rPr>
          <w:szCs w:val="16"/>
          <w:lang w:val="fr-CA"/>
        </w:rPr>
        <w:t>144</w:t>
      </w:r>
      <w:r w:rsidR="00D40EFF" w:rsidRPr="00E80C1E">
        <w:rPr>
          <w:szCs w:val="16"/>
          <w:lang w:val="fr-CA"/>
        </w:rPr>
        <w:t xml:space="preserve">, le </w:t>
      </w:r>
      <w:r w:rsidR="00D40EFF" w:rsidRPr="00E80C1E">
        <w:rPr>
          <w:i/>
          <w:iCs/>
          <w:szCs w:val="16"/>
          <w:lang w:val="fr-CA"/>
        </w:rPr>
        <w:t>Regulation S</w:t>
      </w:r>
      <w:r w:rsidR="00D40EFF" w:rsidRPr="00E80C1E">
        <w:rPr>
          <w:szCs w:val="16"/>
          <w:lang w:val="fr-CA"/>
        </w:rPr>
        <w:t xml:space="preserve"> ou le Règlement </w:t>
      </w:r>
      <w:r w:rsidR="00D40EFF" w:rsidRPr="00986BEB">
        <w:rPr>
          <w:szCs w:val="16"/>
          <w:lang w:val="fr-CA"/>
        </w:rPr>
        <w:t>45-102</w:t>
      </w:r>
      <w:r w:rsidR="00D40EFF" w:rsidRPr="00E80C1E">
        <w:rPr>
          <w:szCs w:val="16"/>
          <w:lang w:val="fr-CA"/>
        </w:rPr>
        <w:t xml:space="preserve"> ne devraient pas </w:t>
      </w:r>
      <w:r w:rsidR="00BA11D1">
        <w:rPr>
          <w:szCs w:val="16"/>
          <w:lang w:val="fr-CA"/>
        </w:rPr>
        <w:t>les en empêcher</w:t>
      </w:r>
      <w:r w:rsidR="00D40EFF" w:rsidRPr="00E80C1E">
        <w:rPr>
          <w:szCs w:val="16"/>
          <w:lang w:val="fr-CA"/>
        </w:rPr>
        <w:t>.</w:t>
      </w:r>
      <w:r w:rsidRPr="00E80C1E">
        <w:rPr>
          <w:szCs w:val="16"/>
          <w:lang w:val="fr-CA"/>
        </w:rPr>
        <w:t xml:space="preserve"> </w:t>
      </w:r>
      <w:r w:rsidR="00D40EFF" w:rsidRPr="00E80C1E">
        <w:rPr>
          <w:szCs w:val="16"/>
          <w:lang w:val="fr-CA"/>
        </w:rPr>
        <w:t>En deuxième lieu, ce</w:t>
      </w:r>
      <w:r w:rsidR="002A750A">
        <w:rPr>
          <w:szCs w:val="16"/>
          <w:lang w:val="fr-CA"/>
        </w:rPr>
        <w:t>tte</w:t>
      </w:r>
      <w:r w:rsidR="003316D0">
        <w:rPr>
          <w:szCs w:val="16"/>
          <w:lang w:val="fr-CA"/>
        </w:rPr>
        <w:t xml:space="preserve"> disposition </w:t>
      </w:r>
      <w:r w:rsidR="00D40EFF" w:rsidRPr="00E80C1E">
        <w:rPr>
          <w:szCs w:val="16"/>
          <w:lang w:val="fr-CA"/>
        </w:rPr>
        <w:t xml:space="preserve">pourrait entraîner une différence de traitement des investisseurs, en ce sens que certains investisseurs qui sont membres du même groupe que la Société (en raison, par exemple, de leur représentation au Conseil ou de leur pourcentage de participation) et qui ne peuvent se prévaloir de la Règle </w:t>
      </w:r>
      <w:r w:rsidR="00D40EFF" w:rsidRPr="00986BEB">
        <w:rPr>
          <w:szCs w:val="16"/>
          <w:lang w:val="fr-CA"/>
        </w:rPr>
        <w:t>144</w:t>
      </w:r>
      <w:r w:rsidR="00D40EFF" w:rsidRPr="00E80C1E">
        <w:rPr>
          <w:szCs w:val="16"/>
          <w:lang w:val="fr-CA"/>
        </w:rPr>
        <w:t xml:space="preserve"> pour vendre toutes leurs actions sans </w:t>
      </w:r>
      <w:r w:rsidR="00BA11D1">
        <w:rPr>
          <w:szCs w:val="16"/>
          <w:lang w:val="fr-CA"/>
        </w:rPr>
        <w:t xml:space="preserve">limite de </w:t>
      </w:r>
      <w:r w:rsidR="00D40EFF" w:rsidRPr="00E80C1E">
        <w:rPr>
          <w:szCs w:val="16"/>
          <w:lang w:val="fr-CA"/>
        </w:rPr>
        <w:t>volume ne perdraient pas leurs droits d’inscription, tandis que d’autres investisseurs qui ne sont pas membres du même groupe que la Société et qui pourraient se prévaloir de la Règle </w:t>
      </w:r>
      <w:r w:rsidR="00D40EFF" w:rsidRPr="00986BEB">
        <w:rPr>
          <w:szCs w:val="16"/>
          <w:lang w:val="fr-CA"/>
        </w:rPr>
        <w:t>144</w:t>
      </w:r>
      <w:r w:rsidR="00D40EFF" w:rsidRPr="00E80C1E">
        <w:rPr>
          <w:szCs w:val="16"/>
          <w:lang w:val="fr-CA"/>
        </w:rPr>
        <w:t xml:space="preserve"> pour vendre toutes leurs actions sans </w:t>
      </w:r>
      <w:r w:rsidR="002F0E89">
        <w:rPr>
          <w:szCs w:val="16"/>
          <w:lang w:val="fr-CA"/>
        </w:rPr>
        <w:t xml:space="preserve">limite de </w:t>
      </w:r>
      <w:r w:rsidR="00D40EFF" w:rsidRPr="00E80C1E">
        <w:rPr>
          <w:szCs w:val="16"/>
          <w:lang w:val="fr-CA"/>
        </w:rPr>
        <w:t xml:space="preserve">volume perdraient </w:t>
      </w:r>
      <w:r w:rsidR="003316D0">
        <w:rPr>
          <w:szCs w:val="16"/>
          <w:lang w:val="fr-CA"/>
        </w:rPr>
        <w:t>leurs</w:t>
      </w:r>
      <w:r w:rsidR="00D40EFF" w:rsidRPr="00E80C1E">
        <w:rPr>
          <w:szCs w:val="16"/>
          <w:lang w:val="fr-CA"/>
        </w:rPr>
        <w:t xml:space="preserve"> droits d’inscription.</w:t>
      </w:r>
      <w:r w:rsidRPr="00E80C1E">
        <w:rPr>
          <w:szCs w:val="16"/>
          <w:lang w:val="fr-CA"/>
        </w:rPr>
        <w:t xml:space="preserve"> </w:t>
      </w:r>
      <w:r w:rsidR="00D40EFF" w:rsidRPr="00E80C1E">
        <w:rPr>
          <w:szCs w:val="16"/>
          <w:lang w:val="fr-CA"/>
        </w:rPr>
        <w:t xml:space="preserve">Enfin, en fonction de facteurs tels que les périodes de détention, les périodes de blocage et les volumes du marché, les investisseurs </w:t>
      </w:r>
      <w:r w:rsidR="003316D0">
        <w:rPr>
          <w:szCs w:val="16"/>
          <w:lang w:val="fr-CA"/>
        </w:rPr>
        <w:t>peuvent</w:t>
      </w:r>
      <w:r w:rsidR="00D40EFF" w:rsidRPr="00E80C1E">
        <w:rPr>
          <w:szCs w:val="16"/>
          <w:lang w:val="fr-CA"/>
        </w:rPr>
        <w:t xml:space="preserve"> perdre leurs droits </w:t>
      </w:r>
      <w:r w:rsidR="002A1FCF" w:rsidRPr="00E80C1E">
        <w:rPr>
          <w:szCs w:val="16"/>
          <w:lang w:val="fr-CA"/>
        </w:rPr>
        <w:t>d’i</w:t>
      </w:r>
      <w:r w:rsidR="00D40EFF" w:rsidRPr="00E80C1E">
        <w:rPr>
          <w:szCs w:val="16"/>
          <w:lang w:val="fr-CA"/>
        </w:rPr>
        <w:t xml:space="preserve">nscription sans </w:t>
      </w:r>
      <w:r w:rsidR="002F0E89">
        <w:rPr>
          <w:szCs w:val="16"/>
          <w:lang w:val="fr-CA"/>
        </w:rPr>
        <w:t xml:space="preserve">avoir réellement eu la </w:t>
      </w:r>
      <w:r w:rsidR="00D40EFF" w:rsidRPr="00E80C1E">
        <w:rPr>
          <w:szCs w:val="16"/>
          <w:lang w:val="fr-CA"/>
        </w:rPr>
        <w:t xml:space="preserve">possibilité de les exercer si </w:t>
      </w:r>
      <w:r w:rsidR="003316D0">
        <w:rPr>
          <w:szCs w:val="16"/>
          <w:lang w:val="fr-CA"/>
        </w:rPr>
        <w:t>c</w:t>
      </w:r>
      <w:r w:rsidR="00D40EFF" w:rsidRPr="00E80C1E">
        <w:rPr>
          <w:szCs w:val="16"/>
          <w:lang w:val="fr-CA"/>
        </w:rPr>
        <w:t xml:space="preserve">es droits expirent lorsque les actions </w:t>
      </w:r>
      <w:r w:rsidR="00164514">
        <w:rPr>
          <w:szCs w:val="16"/>
          <w:lang w:val="fr-CA"/>
        </w:rPr>
        <w:t>peuvent être vendues</w:t>
      </w:r>
      <w:r w:rsidR="00D40EFF" w:rsidRPr="00E80C1E">
        <w:rPr>
          <w:szCs w:val="16"/>
          <w:lang w:val="fr-CA"/>
        </w:rPr>
        <w:t xml:space="preserve"> sans restriction en vertu de la Règle</w:t>
      </w:r>
      <w:r w:rsidR="002F0E89">
        <w:rPr>
          <w:szCs w:val="16"/>
          <w:lang w:val="fr-CA"/>
        </w:rPr>
        <w:t> </w:t>
      </w:r>
      <w:r w:rsidR="00D40EFF" w:rsidRPr="00986BEB">
        <w:rPr>
          <w:szCs w:val="16"/>
          <w:lang w:val="fr-CA"/>
        </w:rPr>
        <w:t>144</w:t>
      </w:r>
      <w:r w:rsidR="00D40EFF" w:rsidRPr="00E80C1E">
        <w:rPr>
          <w:szCs w:val="16"/>
          <w:lang w:val="fr-CA"/>
        </w:rPr>
        <w:t xml:space="preserve">, </w:t>
      </w:r>
      <w:r w:rsidR="003316D0">
        <w:rPr>
          <w:szCs w:val="16"/>
          <w:lang w:val="fr-CA"/>
        </w:rPr>
        <w:t xml:space="preserve">d’autant plus </w:t>
      </w:r>
      <w:r w:rsidR="00D40EFF" w:rsidRPr="00E80C1E">
        <w:rPr>
          <w:szCs w:val="16"/>
          <w:lang w:val="fr-CA"/>
        </w:rPr>
        <w:t xml:space="preserve">que la période de détention prévue par la </w:t>
      </w:r>
      <w:bookmarkStart w:id="222" w:name="DocXTextRef186"/>
      <w:r w:rsidR="00D40EFF" w:rsidRPr="00E80C1E">
        <w:rPr>
          <w:szCs w:val="16"/>
          <w:lang w:val="fr-CA"/>
        </w:rPr>
        <w:t>Règle </w:t>
      </w:r>
      <w:r w:rsidRPr="00986BEB">
        <w:rPr>
          <w:szCs w:val="16"/>
          <w:lang w:val="fr-CA"/>
        </w:rPr>
        <w:t>144</w:t>
      </w:r>
      <w:bookmarkEnd w:id="222"/>
      <w:r w:rsidRPr="00E80C1E">
        <w:rPr>
          <w:szCs w:val="16"/>
          <w:lang w:val="fr-CA"/>
        </w:rPr>
        <w:t xml:space="preserve"> </w:t>
      </w:r>
      <w:r w:rsidR="00D40EFF" w:rsidRPr="00E80C1E">
        <w:rPr>
          <w:szCs w:val="16"/>
          <w:lang w:val="fr-CA"/>
        </w:rPr>
        <w:t>pour les reventes de titres illimité</w:t>
      </w:r>
      <w:r w:rsidR="00164514">
        <w:rPr>
          <w:szCs w:val="16"/>
          <w:lang w:val="fr-CA"/>
        </w:rPr>
        <w:t>e</w:t>
      </w:r>
      <w:r w:rsidR="00D40EFF" w:rsidRPr="00E80C1E">
        <w:rPr>
          <w:szCs w:val="16"/>
          <w:lang w:val="fr-CA"/>
        </w:rPr>
        <w:t xml:space="preserve">s </w:t>
      </w:r>
      <w:r w:rsidRPr="00E80C1E">
        <w:rPr>
          <w:szCs w:val="16"/>
          <w:lang w:val="fr-CA"/>
        </w:rPr>
        <w:t>(</w:t>
      </w:r>
      <w:r w:rsidR="00D40EFF" w:rsidRPr="00E80C1E">
        <w:rPr>
          <w:szCs w:val="16"/>
          <w:lang w:val="fr-CA"/>
        </w:rPr>
        <w:t>sauf aux membres du même groupe</w:t>
      </w:r>
      <w:r w:rsidRPr="00E80C1E">
        <w:rPr>
          <w:szCs w:val="16"/>
          <w:lang w:val="fr-CA"/>
        </w:rPr>
        <w:t xml:space="preserve">) </w:t>
      </w:r>
      <w:r w:rsidR="002F0E89">
        <w:rPr>
          <w:szCs w:val="16"/>
          <w:lang w:val="fr-CA"/>
        </w:rPr>
        <w:t xml:space="preserve">est </w:t>
      </w:r>
      <w:r w:rsidR="00D40EFF" w:rsidRPr="00E80C1E">
        <w:rPr>
          <w:szCs w:val="16"/>
          <w:lang w:val="fr-CA"/>
        </w:rPr>
        <w:t>réduite à un an</w:t>
      </w:r>
      <w:r w:rsidRPr="00E80C1E">
        <w:rPr>
          <w:szCs w:val="16"/>
          <w:lang w:val="fr-CA"/>
        </w:rPr>
        <w:t xml:space="preserve">. </w:t>
      </w:r>
      <w:r w:rsidR="00D40EFF" w:rsidRPr="00E80C1E">
        <w:rPr>
          <w:szCs w:val="16"/>
          <w:lang w:val="fr-CA"/>
        </w:rPr>
        <w:t>Parfois, les investisseurs acceptent des seuils de propriété minimale de sorte que les porteurs de titres disponibles à la vente en vertu de la Règle </w:t>
      </w:r>
      <w:r w:rsidR="00D40EFF" w:rsidRPr="00986BEB">
        <w:rPr>
          <w:szCs w:val="16"/>
          <w:lang w:val="fr-CA"/>
        </w:rPr>
        <w:t>144</w:t>
      </w:r>
      <w:r w:rsidR="00D40EFF" w:rsidRPr="00E80C1E">
        <w:rPr>
          <w:szCs w:val="16"/>
          <w:lang w:val="fr-CA"/>
        </w:rPr>
        <w:t xml:space="preserve"> qui détiennent moins q</w:t>
      </w:r>
      <w:r w:rsidR="002A1FCF" w:rsidRPr="00E80C1E">
        <w:rPr>
          <w:szCs w:val="16"/>
          <w:lang w:val="fr-CA"/>
        </w:rPr>
        <w:t>u’u</w:t>
      </w:r>
      <w:r w:rsidR="00D40EFF" w:rsidRPr="00E80C1E">
        <w:rPr>
          <w:szCs w:val="16"/>
          <w:lang w:val="fr-CA"/>
        </w:rPr>
        <w:t xml:space="preserve">n pourcentage déterminé (habituellement </w:t>
      </w:r>
      <w:r w:rsidR="000A701F">
        <w:rPr>
          <w:szCs w:val="16"/>
          <w:lang w:val="fr-CA"/>
        </w:rPr>
        <w:t xml:space="preserve">de </w:t>
      </w:r>
      <w:r w:rsidR="00D40EFF" w:rsidRPr="00986BEB">
        <w:rPr>
          <w:szCs w:val="16"/>
          <w:lang w:val="fr-CA"/>
        </w:rPr>
        <w:t>1</w:t>
      </w:r>
      <w:r w:rsidR="00164514">
        <w:rPr>
          <w:szCs w:val="16"/>
          <w:lang w:val="fr-CA"/>
        </w:rPr>
        <w:t> %</w:t>
      </w:r>
      <w:r w:rsidR="00D40EFF" w:rsidRPr="00E80C1E">
        <w:rPr>
          <w:szCs w:val="16"/>
          <w:lang w:val="fr-CA"/>
        </w:rPr>
        <w:t xml:space="preserve"> à </w:t>
      </w:r>
      <w:r w:rsidR="00D40EFF" w:rsidRPr="00986BEB">
        <w:rPr>
          <w:szCs w:val="16"/>
          <w:lang w:val="fr-CA"/>
        </w:rPr>
        <w:t>5</w:t>
      </w:r>
      <w:r w:rsidR="00D40EFF" w:rsidRPr="00E80C1E">
        <w:rPr>
          <w:szCs w:val="16"/>
          <w:lang w:val="fr-CA"/>
        </w:rPr>
        <w:t xml:space="preserve"> %) des titres de la Société perdent leurs droits </w:t>
      </w:r>
      <w:r w:rsidR="002A1FCF" w:rsidRPr="00E80C1E">
        <w:rPr>
          <w:szCs w:val="16"/>
          <w:lang w:val="fr-CA"/>
        </w:rPr>
        <w:t>d’i</w:t>
      </w:r>
      <w:r w:rsidR="00D40EFF" w:rsidRPr="00E80C1E">
        <w:rPr>
          <w:szCs w:val="16"/>
          <w:lang w:val="fr-CA"/>
        </w:rPr>
        <w:t>nscription.</w:t>
      </w:r>
      <w:r w:rsidRPr="00E80C1E">
        <w:rPr>
          <w:szCs w:val="16"/>
          <w:lang w:val="fr-CA"/>
        </w:rPr>
        <w:t xml:space="preserve"> </w:t>
      </w:r>
      <w:r w:rsidR="00D40EFF" w:rsidRPr="00E80C1E">
        <w:rPr>
          <w:szCs w:val="16"/>
          <w:lang w:val="fr-CA"/>
        </w:rPr>
        <w:t>L</w:t>
      </w:r>
      <w:r w:rsidR="002A1FCF" w:rsidRPr="00E80C1E">
        <w:rPr>
          <w:szCs w:val="16"/>
          <w:lang w:val="fr-CA"/>
        </w:rPr>
        <w:t>’</w:t>
      </w:r>
      <w:r w:rsidR="00D40EFF" w:rsidRPr="00E80C1E">
        <w:rPr>
          <w:szCs w:val="16"/>
          <w:lang w:val="fr-CA"/>
        </w:rPr>
        <w:t>idée derrière cette pratique est d’amener les petits porteurs à se prévaloir de la Règle </w:t>
      </w:r>
      <w:r w:rsidR="00D40EFF" w:rsidRPr="00986BEB">
        <w:rPr>
          <w:szCs w:val="16"/>
          <w:lang w:val="fr-CA"/>
        </w:rPr>
        <w:t>144</w:t>
      </w:r>
      <w:r w:rsidR="00D40EFF" w:rsidRPr="00E80C1E">
        <w:rPr>
          <w:szCs w:val="16"/>
          <w:lang w:val="fr-CA"/>
        </w:rPr>
        <w:t xml:space="preserve"> comme stratégie de sortie.</w:t>
      </w:r>
      <w:r w:rsidRPr="00E80C1E">
        <w:rPr>
          <w:szCs w:val="16"/>
          <w:lang w:val="fr-CA"/>
        </w:rPr>
        <w:t xml:space="preserve"> </w:t>
      </w:r>
      <w:r w:rsidR="002A1FCF" w:rsidRPr="00E80C1E">
        <w:rPr>
          <w:szCs w:val="16"/>
          <w:lang w:val="fr-CA"/>
        </w:rPr>
        <w:t xml:space="preserve">Si les investisseurs sont à l’aise avec le seuil en pourcentage (ce qui </w:t>
      </w:r>
      <w:r w:rsidR="003316D0">
        <w:rPr>
          <w:szCs w:val="16"/>
          <w:lang w:val="fr-CA"/>
        </w:rPr>
        <w:t xml:space="preserve">peut s’avérer </w:t>
      </w:r>
      <w:r w:rsidR="002A1FCF" w:rsidRPr="00E80C1E">
        <w:rPr>
          <w:szCs w:val="16"/>
          <w:lang w:val="fr-CA"/>
        </w:rPr>
        <w:t>difficile puisqu’ils devront estimer un</w:t>
      </w:r>
      <w:r w:rsidR="00BD2077">
        <w:rPr>
          <w:szCs w:val="16"/>
          <w:lang w:val="fr-CA"/>
        </w:rPr>
        <w:t>e</w:t>
      </w:r>
      <w:r w:rsidR="002A1FCF" w:rsidRPr="00E80C1E">
        <w:rPr>
          <w:szCs w:val="16"/>
          <w:lang w:val="fr-CA"/>
        </w:rPr>
        <w:t xml:space="preserve"> certain</w:t>
      </w:r>
      <w:r w:rsidR="00BD2077">
        <w:rPr>
          <w:szCs w:val="16"/>
          <w:lang w:val="fr-CA"/>
        </w:rPr>
        <w:t xml:space="preserve">e </w:t>
      </w:r>
      <w:r w:rsidR="002A1FCF" w:rsidRPr="00E80C1E">
        <w:rPr>
          <w:szCs w:val="16"/>
          <w:lang w:val="fr-CA"/>
        </w:rPr>
        <w:t xml:space="preserve">dilution </w:t>
      </w:r>
      <w:r w:rsidR="00BD2077">
        <w:rPr>
          <w:szCs w:val="16"/>
          <w:lang w:val="fr-CA"/>
        </w:rPr>
        <w:t xml:space="preserve">par suite </w:t>
      </w:r>
      <w:r w:rsidR="002A1FCF" w:rsidRPr="00E80C1E">
        <w:rPr>
          <w:szCs w:val="16"/>
          <w:lang w:val="fr-CA"/>
        </w:rPr>
        <w:t xml:space="preserve">de financements supplémentaires et d’un éventuel PAPE), </w:t>
      </w:r>
      <w:r w:rsidR="00BD2077">
        <w:rPr>
          <w:szCs w:val="16"/>
          <w:lang w:val="fr-CA"/>
        </w:rPr>
        <w:t>ils pourraient aussi en tirer avantage</w:t>
      </w:r>
      <w:r w:rsidR="002A1FCF" w:rsidRPr="00E80C1E">
        <w:rPr>
          <w:szCs w:val="16"/>
          <w:lang w:val="fr-CA"/>
        </w:rPr>
        <w:t xml:space="preserve">, car </w:t>
      </w:r>
      <w:r w:rsidR="00BD2077">
        <w:rPr>
          <w:szCs w:val="16"/>
          <w:lang w:val="fr-CA"/>
        </w:rPr>
        <w:t xml:space="preserve">ce seuil réduira le </w:t>
      </w:r>
      <w:r w:rsidR="002A1FCF" w:rsidRPr="00E80C1E">
        <w:rPr>
          <w:szCs w:val="16"/>
          <w:lang w:val="fr-CA"/>
        </w:rPr>
        <w:t>nombre d’actionnaires qui vendent leurs titres aux termes de la déclaration d’inscription.</w:t>
      </w:r>
      <w:r w:rsidRPr="00E80C1E">
        <w:rPr>
          <w:szCs w:val="16"/>
          <w:lang w:val="fr-CA"/>
        </w:rPr>
        <w:t xml:space="preserve"> </w:t>
      </w:r>
      <w:r w:rsidR="002A1FCF" w:rsidRPr="00E80C1E">
        <w:rPr>
          <w:szCs w:val="16"/>
          <w:lang w:val="fr-CA"/>
        </w:rPr>
        <w:t xml:space="preserve">En outre, certains investisseurs ont exprimé des préoccupations quant à l’extinction de leurs droits d’inscription même </w:t>
      </w:r>
      <w:r w:rsidR="00BD2077">
        <w:rPr>
          <w:szCs w:val="16"/>
          <w:lang w:val="fr-CA"/>
        </w:rPr>
        <w:t>dans le cas où</w:t>
      </w:r>
      <w:r w:rsidR="002A1FCF" w:rsidRPr="00E80C1E">
        <w:rPr>
          <w:szCs w:val="16"/>
          <w:lang w:val="fr-CA"/>
        </w:rPr>
        <w:t xml:space="preserve"> toutes leurs actions pourraient être vendues en vertu de la Règle</w:t>
      </w:r>
      <w:r w:rsidR="00BD2077">
        <w:rPr>
          <w:szCs w:val="16"/>
          <w:lang w:val="fr-CA"/>
        </w:rPr>
        <w:t> </w:t>
      </w:r>
      <w:r w:rsidR="002A1FCF" w:rsidRPr="00986BEB">
        <w:rPr>
          <w:szCs w:val="16"/>
          <w:lang w:val="fr-CA"/>
        </w:rPr>
        <w:t>144</w:t>
      </w:r>
      <w:r w:rsidR="002A1FCF" w:rsidRPr="00E80C1E">
        <w:rPr>
          <w:szCs w:val="16"/>
          <w:lang w:val="fr-CA"/>
        </w:rPr>
        <w:t xml:space="preserve">, car il peut subsister des problèmes d’ordre pratique avec les ventes de gros volumes (p. ex. lorsqu’une personne détient </w:t>
      </w:r>
      <w:r w:rsidR="00164514">
        <w:rPr>
          <w:szCs w:val="16"/>
          <w:lang w:val="fr-CA"/>
        </w:rPr>
        <w:t xml:space="preserve">de </w:t>
      </w:r>
      <w:r w:rsidR="002A1FCF" w:rsidRPr="00986BEB">
        <w:rPr>
          <w:szCs w:val="16"/>
          <w:lang w:val="fr-CA"/>
        </w:rPr>
        <w:t>5</w:t>
      </w:r>
      <w:r w:rsidR="00164514">
        <w:rPr>
          <w:szCs w:val="16"/>
          <w:lang w:val="fr-CA"/>
        </w:rPr>
        <w:t> %</w:t>
      </w:r>
      <w:r w:rsidR="002A1FCF" w:rsidRPr="00E80C1E">
        <w:rPr>
          <w:szCs w:val="16"/>
          <w:lang w:val="fr-CA"/>
        </w:rPr>
        <w:t xml:space="preserve"> à </w:t>
      </w:r>
      <w:r w:rsidR="002A1FCF" w:rsidRPr="00986BEB">
        <w:rPr>
          <w:szCs w:val="16"/>
          <w:lang w:val="fr-CA"/>
        </w:rPr>
        <w:t>9</w:t>
      </w:r>
      <w:r w:rsidR="002A1FCF" w:rsidRPr="00E80C1E">
        <w:rPr>
          <w:szCs w:val="16"/>
          <w:lang w:val="fr-CA"/>
        </w:rPr>
        <w:t xml:space="preserve"> %), même si </w:t>
      </w:r>
      <w:r w:rsidR="00BD2077">
        <w:rPr>
          <w:szCs w:val="16"/>
          <w:lang w:val="fr-CA"/>
        </w:rPr>
        <w:t>ces ventes</w:t>
      </w:r>
      <w:r w:rsidR="002A1FCF" w:rsidRPr="00E80C1E">
        <w:rPr>
          <w:szCs w:val="16"/>
          <w:lang w:val="fr-CA"/>
        </w:rPr>
        <w:t xml:space="preserve"> sont légalement autorisées, et certains investisseurs </w:t>
      </w:r>
      <w:r w:rsidR="00BD2077">
        <w:rPr>
          <w:szCs w:val="16"/>
          <w:lang w:val="fr-CA"/>
        </w:rPr>
        <w:t xml:space="preserve">croient </w:t>
      </w:r>
      <w:r w:rsidR="002A1FCF" w:rsidRPr="00E80C1E">
        <w:rPr>
          <w:szCs w:val="16"/>
          <w:lang w:val="fr-CA"/>
        </w:rPr>
        <w:t xml:space="preserve">que la Société peut </w:t>
      </w:r>
      <w:r w:rsidR="00BD2077">
        <w:rPr>
          <w:szCs w:val="16"/>
          <w:lang w:val="fr-CA"/>
        </w:rPr>
        <w:t>également</w:t>
      </w:r>
      <w:r w:rsidR="002A1FCF" w:rsidRPr="00E80C1E">
        <w:rPr>
          <w:szCs w:val="16"/>
          <w:lang w:val="fr-CA"/>
        </w:rPr>
        <w:t xml:space="preserve"> avoir intérêt à ce qu’ils vendent leurs actions dans le cadre d’un placement plutôt que de </w:t>
      </w:r>
      <w:r w:rsidR="00FA624D">
        <w:rPr>
          <w:szCs w:val="16"/>
          <w:lang w:val="fr-CA"/>
        </w:rPr>
        <w:t xml:space="preserve">les </w:t>
      </w:r>
      <w:r w:rsidR="002A1FCF" w:rsidRPr="00E80C1E">
        <w:rPr>
          <w:szCs w:val="16"/>
          <w:lang w:val="fr-CA"/>
        </w:rPr>
        <w:t>liquider sur le marché.</w:t>
      </w:r>
      <w:r w:rsidRPr="00E80C1E">
        <w:rPr>
          <w:szCs w:val="16"/>
          <w:lang w:val="fr-CA"/>
        </w:rPr>
        <w:t xml:space="preserve"> </w:t>
      </w:r>
      <w:r w:rsidR="002A1FCF" w:rsidRPr="002A750A">
        <w:rPr>
          <w:szCs w:val="16"/>
          <w:lang w:val="fr-CA"/>
        </w:rPr>
        <w:t xml:space="preserve">Les investisseurs </w:t>
      </w:r>
      <w:r w:rsidR="001B6134" w:rsidRPr="002A750A">
        <w:rPr>
          <w:szCs w:val="16"/>
          <w:lang w:val="fr-CA"/>
        </w:rPr>
        <w:t xml:space="preserve">s’inquiètent aussi de la disposition d’extinction des droits s’ils sont </w:t>
      </w:r>
      <w:r w:rsidR="00FA624D" w:rsidRPr="002A750A">
        <w:rPr>
          <w:szCs w:val="16"/>
          <w:lang w:val="fr-CA"/>
        </w:rPr>
        <w:t xml:space="preserve">continuellement </w:t>
      </w:r>
      <w:r w:rsidR="002A1FCF" w:rsidRPr="002A750A">
        <w:rPr>
          <w:szCs w:val="16"/>
          <w:lang w:val="fr-CA"/>
        </w:rPr>
        <w:t xml:space="preserve">assujettis à des blocages </w:t>
      </w:r>
      <w:r w:rsidR="00FA624D" w:rsidRPr="002A750A">
        <w:rPr>
          <w:szCs w:val="16"/>
          <w:lang w:val="fr-CA"/>
        </w:rPr>
        <w:t>en raison d’</w:t>
      </w:r>
      <w:r w:rsidR="002A1FCF" w:rsidRPr="002A750A">
        <w:rPr>
          <w:szCs w:val="16"/>
          <w:lang w:val="fr-CA"/>
        </w:rPr>
        <w:t>inscriptions autres que le PAPE (voir la note </w:t>
      </w:r>
      <w:r w:rsidR="00EB41A0" w:rsidRPr="00986BEB">
        <w:rPr>
          <w:szCs w:val="16"/>
          <w:lang w:val="fr-CA"/>
        </w:rPr>
        <w:fldChar w:fldCharType="begin"/>
      </w:r>
      <w:r w:rsidR="00EB41A0" w:rsidRPr="00986BEB">
        <w:rPr>
          <w:szCs w:val="16"/>
          <w:lang w:val="fr-CA"/>
        </w:rPr>
        <w:instrText xml:space="preserve"> NOTEREF _Ref55162647 \h  \* MERGEFORMAT </w:instrText>
      </w:r>
      <w:r w:rsidR="00EB41A0" w:rsidRPr="00986BEB">
        <w:rPr>
          <w:szCs w:val="16"/>
          <w:lang w:val="fr-CA"/>
        </w:rPr>
      </w:r>
      <w:r w:rsidR="00EB41A0" w:rsidRPr="00986BEB">
        <w:rPr>
          <w:szCs w:val="16"/>
          <w:lang w:val="fr-CA"/>
        </w:rPr>
        <w:fldChar w:fldCharType="separate"/>
      </w:r>
      <w:r w:rsidR="00AE1D96">
        <w:rPr>
          <w:szCs w:val="16"/>
          <w:lang w:val="fr-CA"/>
        </w:rPr>
        <w:t>30</w:t>
      </w:r>
      <w:r w:rsidR="00EB41A0" w:rsidRPr="00986BEB">
        <w:rPr>
          <w:szCs w:val="16"/>
          <w:lang w:val="fr-CA"/>
        </w:rPr>
        <w:fldChar w:fldCharType="end"/>
      </w:r>
      <w:r w:rsidRPr="002A750A">
        <w:rPr>
          <w:szCs w:val="16"/>
          <w:lang w:val="fr-CA"/>
        </w:rPr>
        <w:t>)</w:t>
      </w:r>
      <w:r w:rsidR="002A1FCF" w:rsidRPr="002A750A">
        <w:rPr>
          <w:szCs w:val="16"/>
          <w:lang w:val="fr-CA"/>
        </w:rPr>
        <w:t>,</w:t>
      </w:r>
      <w:r w:rsidRPr="002A750A">
        <w:rPr>
          <w:szCs w:val="16"/>
          <w:lang w:val="fr-CA"/>
        </w:rPr>
        <w:t xml:space="preserve"> </w:t>
      </w:r>
      <w:r w:rsidR="002A1FCF" w:rsidRPr="002A750A">
        <w:rPr>
          <w:szCs w:val="16"/>
          <w:lang w:val="fr-CA"/>
        </w:rPr>
        <w:t xml:space="preserve">car </w:t>
      </w:r>
      <w:r w:rsidR="001B6134" w:rsidRPr="002A750A">
        <w:rPr>
          <w:szCs w:val="16"/>
          <w:lang w:val="fr-CA"/>
        </w:rPr>
        <w:t xml:space="preserve">cela </w:t>
      </w:r>
      <w:r w:rsidR="002A1FCF" w:rsidRPr="002A750A">
        <w:rPr>
          <w:szCs w:val="16"/>
          <w:lang w:val="fr-CA"/>
        </w:rPr>
        <w:t xml:space="preserve">peut avoir une incidence sur leur capacité à vendre </w:t>
      </w:r>
      <w:r w:rsidR="00FA624D" w:rsidRPr="002A750A">
        <w:rPr>
          <w:szCs w:val="16"/>
          <w:lang w:val="fr-CA"/>
        </w:rPr>
        <w:t xml:space="preserve">leurs actions </w:t>
      </w:r>
      <w:r w:rsidR="002A1FCF" w:rsidRPr="002A750A">
        <w:rPr>
          <w:szCs w:val="16"/>
          <w:lang w:val="fr-CA"/>
        </w:rPr>
        <w:t>en dehors de l’inscription.</w:t>
      </w:r>
    </w:p>
  </w:footnote>
  <w:footnote w:id="38">
    <w:p w14:paraId="20183AF6" w14:textId="63A2F4A8" w:rsidR="00BC1FC7" w:rsidRPr="00AE4332" w:rsidRDefault="000B08F2">
      <w:pPr>
        <w:pStyle w:val="FootnoteText"/>
        <w:rPr>
          <w:lang w:val="fr-CA"/>
        </w:rPr>
      </w:pPr>
      <w:r w:rsidRPr="00AE4332">
        <w:rPr>
          <w:rStyle w:val="FootnoteReference"/>
          <w:lang w:val="fr-CA"/>
        </w:rPr>
        <w:footnoteRef/>
      </w:r>
      <w:r w:rsidRPr="00AE4332">
        <w:rPr>
          <w:szCs w:val="16"/>
          <w:lang w:val="fr-CA"/>
        </w:rPr>
        <w:t xml:space="preserve"> </w:t>
      </w:r>
      <w:r w:rsidR="0006151F" w:rsidRPr="00AE4332">
        <w:rPr>
          <w:szCs w:val="16"/>
          <w:lang w:val="fr-CA"/>
        </w:rPr>
        <w:t xml:space="preserve">La participation minimale que doit avoir un </w:t>
      </w:r>
      <w:r w:rsidR="0002701F" w:rsidRPr="00AE4332">
        <w:rPr>
          <w:szCs w:val="16"/>
          <w:lang w:val="fr-CA"/>
        </w:rPr>
        <w:t>i</w:t>
      </w:r>
      <w:r w:rsidR="0006151F" w:rsidRPr="00AE4332">
        <w:rPr>
          <w:szCs w:val="16"/>
          <w:lang w:val="fr-CA"/>
        </w:rPr>
        <w:t xml:space="preserve">nvestisseur pour recevoir l’information financière est négociable, mais correspond souvent à la participation </w:t>
      </w:r>
      <w:r w:rsidR="0002701F" w:rsidRPr="00AE4332">
        <w:rPr>
          <w:szCs w:val="16"/>
          <w:lang w:val="fr-CA"/>
        </w:rPr>
        <w:t xml:space="preserve">du </w:t>
      </w:r>
      <w:r w:rsidR="0006151F" w:rsidRPr="00AE4332">
        <w:rPr>
          <w:szCs w:val="16"/>
          <w:lang w:val="fr-CA"/>
        </w:rPr>
        <w:t>plus petit investisseur en capital de risque</w:t>
      </w:r>
      <w:r w:rsidRPr="00AE4332">
        <w:rPr>
          <w:szCs w:val="16"/>
          <w:lang w:val="fr-CA"/>
        </w:rPr>
        <w:t xml:space="preserve">. </w:t>
      </w:r>
      <w:r w:rsidR="0006151F" w:rsidRPr="00AE4332">
        <w:rPr>
          <w:szCs w:val="16"/>
          <w:lang w:val="fr-CA"/>
        </w:rPr>
        <w:t>Elle devrait être fixée à un niveau suffisamment élevé pour éviter de soumettre la Société à des obligations d’information contraignantes</w:t>
      </w:r>
      <w:r w:rsidRPr="00AE4332">
        <w:rPr>
          <w:szCs w:val="16"/>
          <w:lang w:val="fr-CA"/>
        </w:rPr>
        <w:t xml:space="preserve">, </w:t>
      </w:r>
      <w:r w:rsidR="0006151F" w:rsidRPr="00AE4332">
        <w:rPr>
          <w:szCs w:val="16"/>
          <w:lang w:val="fr-CA"/>
        </w:rPr>
        <w:t>mais suffisamment bas pour permettre aux investisseurs d’obtenir l’information dont ils ont réellement besoin</w:t>
      </w:r>
      <w:r w:rsidRPr="00AE4332">
        <w:rPr>
          <w:szCs w:val="16"/>
          <w:lang w:val="fr-CA"/>
        </w:rPr>
        <w:t>.</w:t>
      </w:r>
    </w:p>
  </w:footnote>
  <w:footnote w:id="39">
    <w:p w14:paraId="5C9ABC04" w14:textId="0431383D" w:rsidR="00BC1FC7" w:rsidRPr="00E80C1E" w:rsidRDefault="000B08F2">
      <w:pPr>
        <w:pStyle w:val="FootnoteText"/>
        <w:rPr>
          <w:lang w:val="fr-CA"/>
        </w:rPr>
      </w:pPr>
      <w:r w:rsidRPr="00AE4332">
        <w:rPr>
          <w:rStyle w:val="FootnoteReference"/>
          <w:lang w:val="fr-CA"/>
        </w:rPr>
        <w:footnoteRef/>
      </w:r>
      <w:r w:rsidRPr="00AE4332">
        <w:rPr>
          <w:szCs w:val="16"/>
          <w:lang w:val="fr-CA"/>
        </w:rPr>
        <w:t xml:space="preserve"> </w:t>
      </w:r>
      <w:r w:rsidR="0006151F" w:rsidRPr="00AE4332">
        <w:rPr>
          <w:szCs w:val="16"/>
          <w:lang w:val="fr-CA"/>
        </w:rPr>
        <w:t xml:space="preserve">Cette disposition donne au Conseil </w:t>
      </w:r>
      <w:r w:rsidR="00FC1BC3">
        <w:rPr>
          <w:szCs w:val="16"/>
          <w:lang w:val="fr-CA"/>
        </w:rPr>
        <w:t>le pouvoir discrétionnaire de</w:t>
      </w:r>
      <w:r w:rsidR="0006151F" w:rsidRPr="00AE4332">
        <w:rPr>
          <w:szCs w:val="16"/>
          <w:lang w:val="fr-CA"/>
        </w:rPr>
        <w:t xml:space="preserve"> définir</w:t>
      </w:r>
      <w:r w:rsidR="0006151F" w:rsidRPr="00E80C1E">
        <w:rPr>
          <w:szCs w:val="16"/>
          <w:lang w:val="fr-CA"/>
        </w:rPr>
        <w:t xml:space="preserve"> ce qu’est un « concurrent » au lieu d’employer le terme défini « Concurrent »</w:t>
      </w:r>
      <w:r w:rsidRPr="00E80C1E">
        <w:rPr>
          <w:szCs w:val="16"/>
          <w:lang w:val="fr-CA"/>
        </w:rPr>
        <w:t xml:space="preserve">, </w:t>
      </w:r>
      <w:r w:rsidR="0006151F" w:rsidRPr="00E80C1E">
        <w:rPr>
          <w:szCs w:val="16"/>
          <w:lang w:val="fr-CA"/>
        </w:rPr>
        <w:t>mais il existe des options plus favorables aux investisseurs</w:t>
      </w:r>
      <w:r w:rsidRPr="00E80C1E">
        <w:rPr>
          <w:szCs w:val="16"/>
          <w:lang w:val="fr-CA"/>
        </w:rPr>
        <w:t xml:space="preserve">. </w:t>
      </w:r>
      <w:r w:rsidR="0006151F" w:rsidRPr="00E80C1E">
        <w:rPr>
          <w:szCs w:val="16"/>
          <w:lang w:val="fr-CA"/>
        </w:rPr>
        <w:t xml:space="preserve">Par exemple, les « concurrents » pourraient être définis comme un groupe </w:t>
      </w:r>
      <w:r w:rsidR="00245DA9">
        <w:rPr>
          <w:szCs w:val="16"/>
          <w:lang w:val="fr-CA"/>
        </w:rPr>
        <w:t xml:space="preserve">restreint </w:t>
      </w:r>
      <w:r w:rsidR="0006151F" w:rsidRPr="00E80C1E">
        <w:rPr>
          <w:szCs w:val="16"/>
          <w:lang w:val="fr-CA"/>
        </w:rPr>
        <w:t xml:space="preserve">de sociétés </w:t>
      </w:r>
      <w:r w:rsidR="00245DA9">
        <w:rPr>
          <w:szCs w:val="16"/>
          <w:lang w:val="fr-CA"/>
        </w:rPr>
        <w:t>énumérées dans une liste</w:t>
      </w:r>
      <w:r w:rsidRPr="00E80C1E">
        <w:rPr>
          <w:szCs w:val="16"/>
          <w:lang w:val="fr-CA"/>
        </w:rPr>
        <w:t>.</w:t>
      </w:r>
    </w:p>
  </w:footnote>
  <w:footnote w:id="40">
    <w:p w14:paraId="7060487A" w14:textId="4474826C" w:rsidR="008C4D17" w:rsidRPr="00E80C1E" w:rsidRDefault="008C4D17" w:rsidP="008C4D17">
      <w:pPr>
        <w:pStyle w:val="FootnoteText"/>
        <w:rPr>
          <w:lang w:val="fr-CA"/>
        </w:rPr>
      </w:pPr>
      <w:r w:rsidRPr="00986BEB">
        <w:rPr>
          <w:rStyle w:val="FootnoteReference"/>
          <w:lang w:val="fr-CA"/>
        </w:rPr>
        <w:footnoteRef/>
      </w:r>
      <w:r w:rsidRPr="00E80C1E">
        <w:rPr>
          <w:szCs w:val="16"/>
          <w:lang w:val="fr-CA"/>
        </w:rPr>
        <w:t xml:space="preserve"> Il </w:t>
      </w:r>
      <w:r w:rsidR="00AB2CCC">
        <w:rPr>
          <w:szCs w:val="16"/>
          <w:lang w:val="fr-CA"/>
        </w:rPr>
        <w:t xml:space="preserve">y a lieu de prendre en considération le </w:t>
      </w:r>
      <w:r w:rsidRPr="00E80C1E">
        <w:rPr>
          <w:szCs w:val="16"/>
          <w:lang w:val="fr-CA"/>
        </w:rPr>
        <w:t xml:space="preserve">stade de développement de la Société, </w:t>
      </w:r>
      <w:r w:rsidR="00AB2CCC">
        <w:rPr>
          <w:szCs w:val="16"/>
          <w:lang w:val="fr-CA"/>
        </w:rPr>
        <w:t>les</w:t>
      </w:r>
      <w:r w:rsidRPr="00E80C1E">
        <w:rPr>
          <w:szCs w:val="16"/>
          <w:lang w:val="fr-CA"/>
        </w:rPr>
        <w:t xml:space="preserve"> coûts et l’échéancier associés aux états financiers audités, ainsi que </w:t>
      </w:r>
      <w:r w:rsidR="00AB2CCC">
        <w:rPr>
          <w:szCs w:val="16"/>
          <w:lang w:val="fr-CA"/>
        </w:rPr>
        <w:t xml:space="preserve">la pertinence du statut national </w:t>
      </w:r>
      <w:r w:rsidR="004F25D6">
        <w:rPr>
          <w:szCs w:val="16"/>
          <w:lang w:val="fr-CA"/>
        </w:rPr>
        <w:t xml:space="preserve">des comptables </w:t>
      </w:r>
      <w:r w:rsidR="00AB2CCC">
        <w:rPr>
          <w:szCs w:val="16"/>
          <w:lang w:val="fr-CA"/>
        </w:rPr>
        <w:t>par rapport au statut régional</w:t>
      </w:r>
      <w:r w:rsidRPr="00E80C1E">
        <w:rPr>
          <w:szCs w:val="16"/>
          <w:lang w:val="fr-CA"/>
        </w:rPr>
        <w:t xml:space="preserve">. </w:t>
      </w:r>
      <w:r w:rsidR="004F25D6">
        <w:rPr>
          <w:szCs w:val="16"/>
          <w:lang w:val="fr-CA"/>
        </w:rPr>
        <w:t>D</w:t>
      </w:r>
      <w:r w:rsidRPr="00E80C1E">
        <w:rPr>
          <w:szCs w:val="16"/>
          <w:lang w:val="fr-CA"/>
        </w:rPr>
        <w:t>ans les faits, les cabinets d’experts</w:t>
      </w:r>
      <w:r w:rsidRPr="00E80C1E">
        <w:rPr>
          <w:szCs w:val="16"/>
          <w:lang w:val="fr-CA"/>
        </w:rPr>
        <w:noBreakHyphen/>
        <w:t>comptables « reconnus à l’échelle nationale » n’acceptent pas</w:t>
      </w:r>
      <w:r w:rsidR="00FC1BC3">
        <w:rPr>
          <w:szCs w:val="16"/>
          <w:lang w:val="fr-CA"/>
        </w:rPr>
        <w:t xml:space="preserve"> </w:t>
      </w:r>
      <w:r w:rsidRPr="00E80C1E">
        <w:rPr>
          <w:szCs w:val="16"/>
          <w:lang w:val="fr-CA"/>
        </w:rPr>
        <w:t xml:space="preserve">d’emblée les </w:t>
      </w:r>
      <w:r w:rsidR="004F25D6">
        <w:rPr>
          <w:szCs w:val="16"/>
          <w:lang w:val="fr-CA"/>
        </w:rPr>
        <w:t xml:space="preserve">missions de </w:t>
      </w:r>
      <w:r w:rsidRPr="00E80C1E">
        <w:rPr>
          <w:szCs w:val="16"/>
          <w:lang w:val="fr-CA"/>
        </w:rPr>
        <w:t>sociétés en phase de démarrage.</w:t>
      </w:r>
    </w:p>
  </w:footnote>
  <w:footnote w:id="41">
    <w:p w14:paraId="290ADBBB" w14:textId="00C93203"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E80C1E" w:rsidRPr="00E80C1E">
        <w:rPr>
          <w:szCs w:val="16"/>
          <w:lang w:val="fr-CA"/>
        </w:rPr>
        <w:t xml:space="preserve">Certains investisseurs demandent que la </w:t>
      </w:r>
      <w:r w:rsidRPr="00E80C1E">
        <w:rPr>
          <w:szCs w:val="16"/>
          <w:lang w:val="fr-CA"/>
        </w:rPr>
        <w:t xml:space="preserve">Société </w:t>
      </w:r>
      <w:r w:rsidR="00E80C1E" w:rsidRPr="00E80C1E">
        <w:rPr>
          <w:szCs w:val="16"/>
          <w:lang w:val="fr-CA"/>
        </w:rPr>
        <w:t>fourni</w:t>
      </w:r>
      <w:r w:rsidR="004F25D6">
        <w:rPr>
          <w:szCs w:val="16"/>
          <w:lang w:val="fr-CA"/>
        </w:rPr>
        <w:t>sse</w:t>
      </w:r>
      <w:r w:rsidR="00E80C1E" w:rsidRPr="00E80C1E">
        <w:rPr>
          <w:szCs w:val="16"/>
          <w:lang w:val="fr-CA"/>
        </w:rPr>
        <w:t xml:space="preserve"> des renseignements sur les litiges importants, les questions réglementaires</w:t>
      </w:r>
      <w:r w:rsidR="004F25D6">
        <w:rPr>
          <w:szCs w:val="16"/>
          <w:lang w:val="fr-CA"/>
        </w:rPr>
        <w:t>,</w:t>
      </w:r>
      <w:r w:rsidR="00E80C1E" w:rsidRPr="00E80C1E">
        <w:rPr>
          <w:szCs w:val="16"/>
          <w:lang w:val="fr-CA"/>
        </w:rPr>
        <w:t xml:space="preserve"> les défauts importants aux termes des facilités de crédit et les autres événements importants</w:t>
      </w:r>
      <w:r w:rsidRPr="00E80C1E">
        <w:rPr>
          <w:szCs w:val="16"/>
          <w:lang w:val="fr-CA"/>
        </w:rPr>
        <w:t xml:space="preserve">. </w:t>
      </w:r>
      <w:r w:rsidR="00E80C1E" w:rsidRPr="00E80C1E">
        <w:rPr>
          <w:szCs w:val="16"/>
          <w:lang w:val="fr-CA"/>
        </w:rPr>
        <w:t xml:space="preserve">Notez toutefois que si l’entité </w:t>
      </w:r>
      <w:r w:rsidR="004F25D6">
        <w:rPr>
          <w:szCs w:val="16"/>
          <w:lang w:val="fr-CA"/>
        </w:rPr>
        <w:t>investisseuse</w:t>
      </w:r>
      <w:r w:rsidR="00E80C1E" w:rsidRPr="00E80C1E">
        <w:rPr>
          <w:szCs w:val="16"/>
          <w:lang w:val="fr-CA"/>
        </w:rPr>
        <w:t xml:space="preserve"> a droit à un siège au Conseil</w:t>
      </w:r>
      <w:r w:rsidRPr="00E80C1E">
        <w:rPr>
          <w:szCs w:val="16"/>
          <w:lang w:val="fr-CA"/>
        </w:rPr>
        <w:t xml:space="preserve">, </w:t>
      </w:r>
      <w:r w:rsidR="00E80C1E" w:rsidRPr="00E80C1E">
        <w:rPr>
          <w:szCs w:val="16"/>
          <w:lang w:val="fr-CA"/>
        </w:rPr>
        <w:t xml:space="preserve">il n’est pas vraiment nécessaire </w:t>
      </w:r>
      <w:r w:rsidRPr="00E80C1E">
        <w:rPr>
          <w:szCs w:val="16"/>
          <w:lang w:val="fr-CA"/>
        </w:rPr>
        <w:t>(</w:t>
      </w:r>
      <w:r w:rsidR="00E80C1E" w:rsidRPr="00E80C1E">
        <w:rPr>
          <w:szCs w:val="16"/>
          <w:lang w:val="fr-CA"/>
        </w:rPr>
        <w:t>du moins pour cet investisseur en particulier</w:t>
      </w:r>
      <w:r w:rsidRPr="00E80C1E">
        <w:rPr>
          <w:szCs w:val="16"/>
          <w:lang w:val="fr-CA"/>
        </w:rPr>
        <w:t xml:space="preserve">) </w:t>
      </w:r>
      <w:r w:rsidR="00E80C1E" w:rsidRPr="00E80C1E">
        <w:rPr>
          <w:szCs w:val="16"/>
          <w:lang w:val="fr-CA"/>
        </w:rPr>
        <w:t xml:space="preserve">d’imposer des obligations </w:t>
      </w:r>
      <w:r w:rsidR="00FC1BC3">
        <w:rPr>
          <w:szCs w:val="16"/>
          <w:lang w:val="fr-CA"/>
        </w:rPr>
        <w:t>d’information</w:t>
      </w:r>
      <w:r w:rsidR="00E80C1E" w:rsidRPr="00E80C1E">
        <w:rPr>
          <w:szCs w:val="16"/>
          <w:lang w:val="fr-CA"/>
        </w:rPr>
        <w:t xml:space="preserve"> supplémentaires à </w:t>
      </w:r>
      <w:r w:rsidRPr="00E80C1E">
        <w:rPr>
          <w:szCs w:val="16"/>
          <w:lang w:val="fr-CA"/>
        </w:rPr>
        <w:t>la Société.</w:t>
      </w:r>
    </w:p>
  </w:footnote>
  <w:footnote w:id="42">
    <w:p w14:paraId="7C3321B2" w14:textId="79BC230D" w:rsidR="000E12C5" w:rsidRPr="00E80C1E" w:rsidRDefault="000E12C5" w:rsidP="000E12C5">
      <w:pPr>
        <w:pStyle w:val="FootnoteText"/>
        <w:rPr>
          <w:lang w:val="fr-CA"/>
        </w:rPr>
      </w:pPr>
      <w:r w:rsidRPr="00986BEB">
        <w:rPr>
          <w:rStyle w:val="FootnoteReference"/>
          <w:lang w:val="fr-CA"/>
        </w:rPr>
        <w:footnoteRef/>
      </w:r>
      <w:r w:rsidRPr="00E80C1E">
        <w:rPr>
          <w:szCs w:val="16"/>
          <w:lang w:val="fr-CA"/>
        </w:rPr>
        <w:t xml:space="preserve"> Si la partie qui a un observateur est un investisseur stratégique (par opposition à un investisseur en capital de risque conventionnel), </w:t>
      </w:r>
      <w:r w:rsidR="00CC5B8D">
        <w:rPr>
          <w:szCs w:val="16"/>
          <w:lang w:val="fr-CA"/>
        </w:rPr>
        <w:t xml:space="preserve">il pourrait être </w:t>
      </w:r>
      <w:r w:rsidR="0007367B">
        <w:rPr>
          <w:szCs w:val="16"/>
          <w:lang w:val="fr-CA"/>
        </w:rPr>
        <w:t>opportun</w:t>
      </w:r>
      <w:r w:rsidR="00CC5B8D">
        <w:rPr>
          <w:szCs w:val="16"/>
          <w:lang w:val="fr-CA"/>
        </w:rPr>
        <w:t xml:space="preserve"> d’imposer </w:t>
      </w:r>
      <w:r w:rsidRPr="00E80C1E">
        <w:rPr>
          <w:szCs w:val="16"/>
          <w:lang w:val="fr-CA"/>
        </w:rPr>
        <w:t xml:space="preserve">d’autres restrictions, notamment en </w:t>
      </w:r>
      <w:r w:rsidR="00CC5B8D">
        <w:rPr>
          <w:szCs w:val="16"/>
          <w:lang w:val="fr-CA"/>
        </w:rPr>
        <w:t xml:space="preserve">ce qui concerne la </w:t>
      </w:r>
      <w:r w:rsidRPr="00E80C1E">
        <w:rPr>
          <w:szCs w:val="16"/>
          <w:lang w:val="fr-CA"/>
        </w:rPr>
        <w:t xml:space="preserve">concurrence ou </w:t>
      </w:r>
      <w:r w:rsidR="0007367B">
        <w:rPr>
          <w:szCs w:val="16"/>
          <w:lang w:val="fr-CA"/>
        </w:rPr>
        <w:t>d’</w:t>
      </w:r>
      <w:r w:rsidR="00CC5B8D">
        <w:rPr>
          <w:szCs w:val="16"/>
          <w:lang w:val="fr-CA"/>
        </w:rPr>
        <w:t xml:space="preserve">autres </w:t>
      </w:r>
      <w:r w:rsidRPr="00E80C1E">
        <w:rPr>
          <w:szCs w:val="16"/>
          <w:lang w:val="fr-CA"/>
        </w:rPr>
        <w:t>conflits d’intérêts.</w:t>
      </w:r>
    </w:p>
  </w:footnote>
  <w:footnote w:id="43">
    <w:p w14:paraId="2C32D507" w14:textId="5D3930D4"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DC3200" w:rsidRPr="00E80C1E">
        <w:rPr>
          <w:szCs w:val="16"/>
          <w:lang w:val="fr-CA"/>
        </w:rPr>
        <w:t xml:space="preserve">Puisque </w:t>
      </w:r>
      <w:r w:rsidRPr="00E80C1E">
        <w:rPr>
          <w:szCs w:val="16"/>
          <w:lang w:val="fr-CA"/>
        </w:rPr>
        <w:t xml:space="preserve">la Société </w:t>
      </w:r>
      <w:r w:rsidR="00DC3200" w:rsidRPr="00E80C1E">
        <w:rPr>
          <w:szCs w:val="16"/>
          <w:lang w:val="fr-CA"/>
        </w:rPr>
        <w:t xml:space="preserve">sera un émetteur assujetti </w:t>
      </w:r>
      <w:r w:rsidR="00CC5B8D">
        <w:rPr>
          <w:szCs w:val="16"/>
          <w:lang w:val="fr-CA"/>
        </w:rPr>
        <w:t xml:space="preserve">aux termes </w:t>
      </w:r>
      <w:r w:rsidR="00DC3200" w:rsidRPr="00E80C1E">
        <w:rPr>
          <w:szCs w:val="16"/>
          <w:lang w:val="fr-CA"/>
        </w:rPr>
        <w:t xml:space="preserve">de la </w:t>
      </w:r>
      <w:r w:rsidR="00F52467" w:rsidRPr="00E80C1E">
        <w:rPr>
          <w:szCs w:val="16"/>
          <w:lang w:val="fr-CA"/>
        </w:rPr>
        <w:t xml:space="preserve">Loi de </w:t>
      </w:r>
      <w:r w:rsidR="00F52467" w:rsidRPr="00986BEB">
        <w:rPr>
          <w:szCs w:val="16"/>
          <w:lang w:val="fr-CA"/>
        </w:rPr>
        <w:t>1934</w:t>
      </w:r>
      <w:r w:rsidRPr="00E80C1E">
        <w:rPr>
          <w:szCs w:val="16"/>
          <w:lang w:val="fr-CA"/>
        </w:rPr>
        <w:t xml:space="preserve"> </w:t>
      </w:r>
      <w:r w:rsidR="00DC3200" w:rsidRPr="00E80C1E">
        <w:rPr>
          <w:szCs w:val="16"/>
          <w:lang w:val="fr-CA"/>
        </w:rPr>
        <w:t xml:space="preserve">à la suite d’un appel public à l’épargne visant des titres inscrits, elle devra limiter les renseignements fournis aux Investisseurs aux renseignements déposés auprès de la </w:t>
      </w:r>
      <w:r w:rsidRPr="00E80C1E">
        <w:rPr>
          <w:szCs w:val="16"/>
          <w:lang w:val="fr-CA"/>
        </w:rPr>
        <w:t xml:space="preserve">SEC </w:t>
      </w:r>
      <w:r w:rsidR="00DC3200" w:rsidRPr="00E80C1E">
        <w:rPr>
          <w:szCs w:val="16"/>
          <w:lang w:val="fr-CA"/>
        </w:rPr>
        <w:t xml:space="preserve">aux termes de la </w:t>
      </w:r>
      <w:r w:rsidR="00F52467" w:rsidRPr="00E80C1E">
        <w:rPr>
          <w:szCs w:val="16"/>
          <w:lang w:val="fr-CA"/>
        </w:rPr>
        <w:t xml:space="preserve">Loi de </w:t>
      </w:r>
      <w:r w:rsidR="00F52467" w:rsidRPr="00986BEB">
        <w:rPr>
          <w:szCs w:val="16"/>
          <w:lang w:val="fr-CA"/>
        </w:rPr>
        <w:t>1934</w:t>
      </w:r>
      <w:r w:rsidRPr="00E80C1E">
        <w:rPr>
          <w:szCs w:val="16"/>
          <w:lang w:val="fr-CA"/>
        </w:rPr>
        <w:t>.</w:t>
      </w:r>
    </w:p>
  </w:footnote>
  <w:footnote w:id="44">
    <w:p w14:paraId="0747D0A7" w14:textId="087582E5" w:rsidR="00DC3200" w:rsidRPr="00E80C1E" w:rsidRDefault="00DC3200" w:rsidP="00DC3200">
      <w:pPr>
        <w:pStyle w:val="FootnoteText"/>
        <w:rPr>
          <w:lang w:val="fr-CA"/>
        </w:rPr>
      </w:pPr>
      <w:r w:rsidRPr="00986BEB">
        <w:rPr>
          <w:rStyle w:val="FootnoteReference"/>
          <w:lang w:val="fr-CA"/>
        </w:rPr>
        <w:footnoteRef/>
      </w:r>
      <w:r w:rsidRPr="00E80C1E">
        <w:rPr>
          <w:szCs w:val="16"/>
          <w:lang w:val="fr-CA"/>
        </w:rPr>
        <w:t xml:space="preserve"> </w:t>
      </w:r>
      <w:r w:rsidR="00E80C1E" w:rsidRPr="00E80C1E">
        <w:rPr>
          <w:szCs w:val="16"/>
          <w:lang w:val="fr-CA"/>
        </w:rPr>
        <w:t xml:space="preserve">On peut envisager d’inclure une clause pour interdire la communication de renseignements confidentiels à </w:t>
      </w:r>
      <w:r w:rsidR="004E6C43">
        <w:rPr>
          <w:szCs w:val="16"/>
          <w:lang w:val="fr-CA"/>
        </w:rPr>
        <w:t>un</w:t>
      </w:r>
      <w:r w:rsidR="00E80C1E" w:rsidRPr="00E80C1E">
        <w:rPr>
          <w:szCs w:val="16"/>
          <w:lang w:val="fr-CA"/>
        </w:rPr>
        <w:t xml:space="preserve"> concurrent</w:t>
      </w:r>
      <w:r w:rsidRPr="00E80C1E">
        <w:rPr>
          <w:szCs w:val="16"/>
          <w:lang w:val="fr-CA"/>
        </w:rPr>
        <w:t xml:space="preserve">. </w:t>
      </w:r>
      <w:r w:rsidR="00E80C1E" w:rsidRPr="00E80C1E">
        <w:rPr>
          <w:szCs w:val="16"/>
          <w:lang w:val="fr-CA"/>
        </w:rPr>
        <w:t xml:space="preserve">Au </w:t>
      </w:r>
      <w:r w:rsidRPr="00E80C1E">
        <w:rPr>
          <w:szCs w:val="16"/>
          <w:lang w:val="fr-CA"/>
        </w:rPr>
        <w:t xml:space="preserve">Canada, </w:t>
      </w:r>
      <w:r w:rsidR="00E80C1E" w:rsidRPr="00E80C1E">
        <w:rPr>
          <w:szCs w:val="16"/>
          <w:lang w:val="fr-CA"/>
        </w:rPr>
        <w:t xml:space="preserve">il n’est pas rare que </w:t>
      </w:r>
      <w:r w:rsidRPr="00E80C1E">
        <w:rPr>
          <w:szCs w:val="16"/>
          <w:lang w:val="fr-CA"/>
        </w:rPr>
        <w:t xml:space="preserve">le Conseil d’administration </w:t>
      </w:r>
      <w:r w:rsidR="004E6C43">
        <w:rPr>
          <w:szCs w:val="16"/>
          <w:lang w:val="fr-CA"/>
        </w:rPr>
        <w:t xml:space="preserve">décide </w:t>
      </w:r>
      <w:r w:rsidR="00E80C1E" w:rsidRPr="00E80C1E">
        <w:rPr>
          <w:szCs w:val="16"/>
          <w:lang w:val="fr-CA"/>
        </w:rPr>
        <w:t>à qui des renseignements peuvent être fournis et quels renseignements peuvent être communiqués aux acquéreurs éventuels</w:t>
      </w:r>
      <w:r w:rsidRPr="00E80C1E">
        <w:rPr>
          <w:szCs w:val="16"/>
          <w:lang w:val="fr-CA"/>
        </w:rPr>
        <w:t>.</w:t>
      </w:r>
    </w:p>
  </w:footnote>
  <w:footnote w:id="45">
    <w:p w14:paraId="56E8F2DD" w14:textId="34DE78AF" w:rsidR="009D16DF" w:rsidRPr="00E80C1E" w:rsidRDefault="009D16DF" w:rsidP="009D16DF">
      <w:pPr>
        <w:pStyle w:val="FootnoteText"/>
        <w:rPr>
          <w:lang w:val="fr-CA"/>
        </w:rPr>
      </w:pPr>
      <w:r w:rsidRPr="00986BEB">
        <w:rPr>
          <w:rStyle w:val="FootnoteReference"/>
          <w:rFonts w:cs="Times New Roman"/>
          <w:lang w:val="fr-CA"/>
        </w:rPr>
        <w:footnoteRef/>
      </w:r>
      <w:r w:rsidRPr="00E80C1E">
        <w:rPr>
          <w:lang w:val="fr-CA"/>
        </w:rPr>
        <w:t xml:space="preserve"> </w:t>
      </w:r>
      <w:r>
        <w:rPr>
          <w:lang w:val="fr-CA"/>
        </w:rPr>
        <w:t xml:space="preserve">Le passage entre crochets est une disposition </w:t>
      </w:r>
      <w:r w:rsidRPr="00E80C1E">
        <w:rPr>
          <w:szCs w:val="16"/>
          <w:lang w:val="fr-CA"/>
        </w:rPr>
        <w:t>(</w:t>
      </w:r>
      <w:r>
        <w:rPr>
          <w:szCs w:val="16"/>
          <w:lang w:val="fr-CA"/>
        </w:rPr>
        <w:t>favorable aux investisseurs</w:t>
      </w:r>
      <w:r w:rsidRPr="00E80C1E">
        <w:rPr>
          <w:szCs w:val="16"/>
          <w:lang w:val="fr-CA"/>
        </w:rPr>
        <w:t xml:space="preserve">) </w:t>
      </w:r>
      <w:r>
        <w:rPr>
          <w:szCs w:val="16"/>
          <w:lang w:val="fr-CA"/>
        </w:rPr>
        <w:t>qui vise à permettre aux Investisseurs de fournir ces renseignements à d’éventuels commanditaires, membres et autres investisseurs, ce qui peut être important pour un Investisseur. Toutefois, les sociétés pourraient ne pas être à l’aise avec le fait d’élargir à ce point le groupe ayant accès à leurs renseignements confidentiels et pourraient préférer traiter cette question au cas par cas</w:t>
      </w:r>
      <w:r w:rsidRPr="00E80C1E">
        <w:rPr>
          <w:szCs w:val="16"/>
          <w:lang w:val="fr-CA"/>
        </w:rPr>
        <w:t>.</w:t>
      </w:r>
    </w:p>
  </w:footnote>
  <w:footnote w:id="46">
    <w:p w14:paraId="3373274A" w14:textId="0EBC13A9" w:rsidR="00BC1FC7" w:rsidRPr="00E80C1E" w:rsidRDefault="000B08F2" w:rsidP="00900B19">
      <w:pPr>
        <w:pStyle w:val="FootnoteText"/>
        <w:rPr>
          <w:lang w:val="fr-CA"/>
        </w:rPr>
      </w:pPr>
      <w:r w:rsidRPr="00986BEB">
        <w:rPr>
          <w:rStyle w:val="FootnoteReference"/>
          <w:lang w:val="fr-CA"/>
        </w:rPr>
        <w:footnoteRef/>
      </w:r>
      <w:r w:rsidRPr="00E80C1E">
        <w:rPr>
          <w:lang w:val="fr-CA"/>
        </w:rPr>
        <w:t xml:space="preserve"> </w:t>
      </w:r>
      <w:r w:rsidRPr="00E80C1E">
        <w:rPr>
          <w:lang w:val="fr-CA"/>
        </w:rPr>
        <w:tab/>
        <w:t xml:space="preserve">La Société </w:t>
      </w:r>
      <w:r w:rsidR="00E80C1E" w:rsidRPr="00E80C1E">
        <w:rPr>
          <w:lang w:val="fr-CA"/>
        </w:rPr>
        <w:t>et</w:t>
      </w:r>
      <w:r w:rsidRPr="00E80C1E">
        <w:rPr>
          <w:lang w:val="fr-CA"/>
        </w:rPr>
        <w:t xml:space="preserve"> les investisseurs </w:t>
      </w:r>
      <w:r w:rsidR="00E80C1E" w:rsidRPr="00E80C1E">
        <w:rPr>
          <w:lang w:val="fr-CA"/>
        </w:rPr>
        <w:t xml:space="preserve">peuvent souhaiter que les actionnaires de </w:t>
      </w:r>
      <w:r w:rsidRPr="00E80C1E">
        <w:rPr>
          <w:lang w:val="fr-CA"/>
        </w:rPr>
        <w:t>la Société</w:t>
      </w:r>
      <w:r w:rsidR="00E80C1E" w:rsidRPr="00E80C1E">
        <w:rPr>
          <w:lang w:val="fr-CA"/>
        </w:rPr>
        <w:t xml:space="preserve"> renoncent </w:t>
      </w:r>
      <w:r w:rsidR="00682BC2">
        <w:rPr>
          <w:lang w:val="fr-CA"/>
        </w:rPr>
        <w:t xml:space="preserve">au </w:t>
      </w:r>
      <w:r w:rsidR="00E80C1E" w:rsidRPr="00E80C1E">
        <w:rPr>
          <w:lang w:val="fr-CA"/>
        </w:rPr>
        <w:t xml:space="preserve">droit prévu par la </w:t>
      </w:r>
      <w:r w:rsidR="00682BC2">
        <w:rPr>
          <w:lang w:val="fr-CA"/>
        </w:rPr>
        <w:t>l</w:t>
      </w:r>
      <w:r w:rsidR="00E80C1E" w:rsidRPr="00E80C1E">
        <w:rPr>
          <w:lang w:val="fr-CA"/>
        </w:rPr>
        <w:t xml:space="preserve">oi d’obtenir de l’information au sujet de </w:t>
      </w:r>
      <w:r w:rsidRPr="00E80C1E">
        <w:rPr>
          <w:lang w:val="fr-CA"/>
        </w:rPr>
        <w:t xml:space="preserve">la Société. </w:t>
      </w:r>
      <w:r w:rsidR="00E80C1E" w:rsidRPr="00E80C1E">
        <w:rPr>
          <w:lang w:val="fr-CA"/>
        </w:rPr>
        <w:t xml:space="preserve">Si cette disposition est incluse, il </w:t>
      </w:r>
      <w:r w:rsidR="009B699E">
        <w:rPr>
          <w:lang w:val="fr-CA"/>
        </w:rPr>
        <w:t xml:space="preserve">pourrait être opportun d’obtenir </w:t>
      </w:r>
      <w:r w:rsidR="00E80C1E" w:rsidRPr="00E80C1E">
        <w:rPr>
          <w:lang w:val="fr-CA"/>
        </w:rPr>
        <w:t>des renonciations auprès des actionnaires qui ne sont pas partie à la présente Convention</w:t>
      </w:r>
      <w:r w:rsidRPr="00E80C1E">
        <w:rPr>
          <w:lang w:val="fr-CA"/>
        </w:rPr>
        <w:t xml:space="preserve">. </w:t>
      </w:r>
      <w:r w:rsidR="00E80C1E" w:rsidRPr="00E80C1E">
        <w:rPr>
          <w:lang w:val="fr-CA"/>
        </w:rPr>
        <w:t xml:space="preserve">Une telle renonciation devrait être </w:t>
      </w:r>
      <w:r w:rsidR="00682BC2">
        <w:rPr>
          <w:lang w:val="fr-CA"/>
        </w:rPr>
        <w:t xml:space="preserve">prévue </w:t>
      </w:r>
      <w:r w:rsidR="00E80C1E" w:rsidRPr="00E80C1E">
        <w:rPr>
          <w:lang w:val="fr-CA"/>
        </w:rPr>
        <w:t xml:space="preserve">dans un contrat entre </w:t>
      </w:r>
      <w:r w:rsidRPr="00E80C1E">
        <w:rPr>
          <w:lang w:val="fr-CA"/>
        </w:rPr>
        <w:t>la Société</w:t>
      </w:r>
      <w:r w:rsidR="00E80C1E" w:rsidRPr="00E80C1E">
        <w:rPr>
          <w:lang w:val="fr-CA"/>
        </w:rPr>
        <w:t xml:space="preserve"> et les actionnaires concernés et n’aura pas d’effet si elle est incluse dans les statuts ou les règlements administratifs de la </w:t>
      </w:r>
      <w:r w:rsidRPr="00E80C1E">
        <w:rPr>
          <w:lang w:val="fr-CA"/>
        </w:rPr>
        <w:t>Société.</w:t>
      </w:r>
    </w:p>
  </w:footnote>
  <w:footnote w:id="47">
    <w:p w14:paraId="63B70A56" w14:textId="4F7D7E5E"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E80C1E" w:rsidRPr="00E80C1E">
        <w:rPr>
          <w:szCs w:val="16"/>
          <w:lang w:val="fr-CA"/>
        </w:rPr>
        <w:t>Dans cette disposition, le droit « préférentiel de souscription » est accordé seulement à un petit nombre d’investisseurs</w:t>
      </w:r>
      <w:r w:rsidRPr="00E80C1E">
        <w:rPr>
          <w:szCs w:val="16"/>
          <w:lang w:val="fr-CA"/>
        </w:rPr>
        <w:t xml:space="preserve"> (</w:t>
      </w:r>
      <w:r w:rsidR="00E80C1E" w:rsidRPr="00E80C1E">
        <w:rPr>
          <w:szCs w:val="16"/>
          <w:lang w:val="fr-CA"/>
        </w:rPr>
        <w:t xml:space="preserve">les </w:t>
      </w:r>
      <w:r w:rsidRPr="00E80C1E">
        <w:rPr>
          <w:szCs w:val="16"/>
          <w:lang w:val="fr-CA"/>
        </w:rPr>
        <w:t>« </w:t>
      </w:r>
      <w:r w:rsidR="00E80C1E" w:rsidRPr="00E80C1E">
        <w:rPr>
          <w:b/>
          <w:szCs w:val="16"/>
          <w:lang w:val="fr-CA"/>
        </w:rPr>
        <w:t>Investisseurs importants</w:t>
      </w:r>
      <w:r w:rsidR="00E80C1E" w:rsidRPr="00E80C1E">
        <w:rPr>
          <w:szCs w:val="16"/>
          <w:lang w:val="fr-CA"/>
        </w:rPr>
        <w:t> »</w:t>
      </w:r>
      <w:r w:rsidRPr="00E80C1E">
        <w:rPr>
          <w:szCs w:val="16"/>
          <w:lang w:val="fr-CA"/>
        </w:rPr>
        <w:t xml:space="preserve">), </w:t>
      </w:r>
      <w:r w:rsidR="00E80C1E" w:rsidRPr="00E80C1E">
        <w:rPr>
          <w:szCs w:val="16"/>
          <w:lang w:val="fr-CA"/>
        </w:rPr>
        <w:t xml:space="preserve">afin de ne pas compliquer inutilement les </w:t>
      </w:r>
      <w:r w:rsidR="00D46D24" w:rsidRPr="003A0374">
        <w:rPr>
          <w:szCs w:val="16"/>
          <w:lang w:val="fr-CA"/>
        </w:rPr>
        <w:t>rondes</w:t>
      </w:r>
      <w:r w:rsidR="00D46D24">
        <w:rPr>
          <w:szCs w:val="16"/>
          <w:lang w:val="fr-CA"/>
        </w:rPr>
        <w:t xml:space="preserve"> de </w:t>
      </w:r>
      <w:r w:rsidR="00E80C1E" w:rsidRPr="00E80C1E">
        <w:rPr>
          <w:szCs w:val="16"/>
          <w:lang w:val="fr-CA"/>
        </w:rPr>
        <w:t>financement subséquent</w:t>
      </w:r>
      <w:r w:rsidR="00D46D24">
        <w:rPr>
          <w:szCs w:val="16"/>
          <w:lang w:val="fr-CA"/>
        </w:rPr>
        <w:t>e</w:t>
      </w:r>
      <w:r w:rsidR="00E80C1E" w:rsidRPr="00E80C1E">
        <w:rPr>
          <w:szCs w:val="16"/>
          <w:lang w:val="fr-CA"/>
        </w:rPr>
        <w:t>s</w:t>
      </w:r>
      <w:r w:rsidRPr="00E80C1E">
        <w:rPr>
          <w:szCs w:val="16"/>
          <w:lang w:val="fr-CA"/>
        </w:rPr>
        <w:t>.</w:t>
      </w:r>
    </w:p>
  </w:footnote>
  <w:footnote w:id="48">
    <w:p w14:paraId="001477E3" w14:textId="0BC2E9F1"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E80C1E" w:rsidRPr="00E80C1E">
        <w:rPr>
          <w:szCs w:val="16"/>
          <w:lang w:val="fr-CA"/>
        </w:rPr>
        <w:t xml:space="preserve">Le Conseil peut </w:t>
      </w:r>
      <w:r w:rsidR="00E80C1E">
        <w:rPr>
          <w:szCs w:val="16"/>
          <w:lang w:val="fr-CA"/>
        </w:rPr>
        <w:t>décider</w:t>
      </w:r>
      <w:r w:rsidR="00E80C1E" w:rsidRPr="00E80C1E">
        <w:rPr>
          <w:szCs w:val="16"/>
          <w:lang w:val="fr-CA"/>
        </w:rPr>
        <w:t xml:space="preserve"> de réserver seulement une partie des titres offerts aux investisseurs existants et d’offrir le reste exclusivement à de nouveaux investisseurs</w:t>
      </w:r>
      <w:r w:rsidRPr="00E80C1E">
        <w:rPr>
          <w:szCs w:val="16"/>
          <w:lang w:val="fr-CA"/>
        </w:rPr>
        <w:t xml:space="preserve">. </w:t>
      </w:r>
      <w:r w:rsidR="00E80C1E" w:rsidRPr="00E80C1E">
        <w:rPr>
          <w:szCs w:val="16"/>
          <w:lang w:val="fr-CA"/>
        </w:rPr>
        <w:t xml:space="preserve">Si tel est le cas, </w:t>
      </w:r>
      <w:r w:rsidR="00E80C1E">
        <w:rPr>
          <w:szCs w:val="16"/>
          <w:lang w:val="fr-CA"/>
        </w:rPr>
        <w:t xml:space="preserve">il convient d’insérer immédiatement avant l’appel de note </w:t>
      </w:r>
      <w:r w:rsidR="006640B4">
        <w:rPr>
          <w:szCs w:val="16"/>
          <w:lang w:val="fr-CA"/>
        </w:rPr>
        <w:t xml:space="preserve">la mention « réservés par </w:t>
      </w:r>
      <w:r w:rsidR="00E80C1E">
        <w:rPr>
          <w:szCs w:val="16"/>
          <w:lang w:val="fr-CA"/>
        </w:rPr>
        <w:t>le Conseil d’administration aux fins d’achat par les investisseurs existants</w:t>
      </w:r>
      <w:r w:rsidR="006640B4">
        <w:rPr>
          <w:szCs w:val="16"/>
          <w:lang w:val="fr-CA"/>
        </w:rPr>
        <w:t> » ou une mention semblable</w:t>
      </w:r>
      <w:r w:rsidRPr="00E80C1E">
        <w:rPr>
          <w:szCs w:val="16"/>
          <w:lang w:val="fr-CA"/>
        </w:rPr>
        <w:t>. (</w:t>
      </w:r>
      <w:r w:rsidR="00E80C1E">
        <w:rPr>
          <w:szCs w:val="16"/>
          <w:lang w:val="fr-CA"/>
        </w:rPr>
        <w:t xml:space="preserve">Voir la stipulation semblable dans la définition des </w:t>
      </w:r>
      <w:r w:rsidRPr="00E80C1E">
        <w:rPr>
          <w:szCs w:val="16"/>
          <w:lang w:val="fr-CA"/>
        </w:rPr>
        <w:t>« </w:t>
      </w:r>
      <w:r w:rsidR="00E80C1E">
        <w:rPr>
          <w:szCs w:val="16"/>
          <w:lang w:val="fr-CA"/>
        </w:rPr>
        <w:t xml:space="preserve">Titres offerts » dans la clause </w:t>
      </w:r>
      <w:r w:rsidR="00E80C1E" w:rsidRPr="00E80C1E">
        <w:rPr>
          <w:szCs w:val="16"/>
          <w:lang w:val="fr-CA"/>
        </w:rPr>
        <w:t>de type « payer pour jouer » (</w:t>
      </w:r>
      <w:r w:rsidR="00E80C1E" w:rsidRPr="00E80C1E">
        <w:rPr>
          <w:i/>
          <w:iCs/>
          <w:szCs w:val="16"/>
          <w:lang w:val="fr-CA"/>
        </w:rPr>
        <w:t>pay-to-play</w:t>
      </w:r>
      <w:r w:rsidR="00E80C1E" w:rsidRPr="00E80C1E">
        <w:rPr>
          <w:szCs w:val="16"/>
          <w:lang w:val="fr-CA"/>
        </w:rPr>
        <w:t>)</w:t>
      </w:r>
      <w:r w:rsidR="00E80C1E">
        <w:rPr>
          <w:szCs w:val="16"/>
          <w:lang w:val="fr-CA"/>
        </w:rPr>
        <w:t xml:space="preserve"> </w:t>
      </w:r>
      <w:r w:rsidRPr="00E80C1E">
        <w:rPr>
          <w:szCs w:val="16"/>
          <w:lang w:val="fr-CA"/>
        </w:rPr>
        <w:t>(</w:t>
      </w:r>
      <w:r w:rsidR="00E80C1E">
        <w:rPr>
          <w:szCs w:val="16"/>
          <w:lang w:val="fr-CA"/>
        </w:rPr>
        <w:t xml:space="preserve">une </w:t>
      </w:r>
      <w:r w:rsidRPr="00E80C1E">
        <w:rPr>
          <w:szCs w:val="16"/>
          <w:lang w:val="fr-CA"/>
        </w:rPr>
        <w:t>« </w:t>
      </w:r>
      <w:r w:rsidR="00E80C1E" w:rsidRPr="00E80C1E">
        <w:rPr>
          <w:b/>
          <w:szCs w:val="16"/>
          <w:lang w:val="fr-CA"/>
        </w:rPr>
        <w:t>Conversion obligatoire spéciale</w:t>
      </w:r>
      <w:r w:rsidR="00E80C1E">
        <w:rPr>
          <w:szCs w:val="16"/>
          <w:lang w:val="fr-CA"/>
        </w:rPr>
        <w:t> »</w:t>
      </w:r>
      <w:r w:rsidRPr="00E80C1E">
        <w:rPr>
          <w:szCs w:val="16"/>
          <w:lang w:val="fr-CA"/>
        </w:rPr>
        <w:t xml:space="preserve">) </w:t>
      </w:r>
      <w:r w:rsidR="00E80C1E">
        <w:rPr>
          <w:szCs w:val="16"/>
          <w:lang w:val="fr-CA"/>
        </w:rPr>
        <w:t xml:space="preserve">du </w:t>
      </w:r>
      <w:r w:rsidR="00E80C1E" w:rsidRPr="00651D43">
        <w:rPr>
          <w:szCs w:val="16"/>
          <w:lang w:val="fr-CA"/>
        </w:rPr>
        <w:t xml:space="preserve">Modèle de </w:t>
      </w:r>
      <w:r w:rsidR="009462E1" w:rsidRPr="00651D43">
        <w:rPr>
          <w:szCs w:val="16"/>
          <w:lang w:val="fr-CA"/>
        </w:rPr>
        <w:t>clauses modificatrices</w:t>
      </w:r>
      <w:r w:rsidRPr="00E80C1E">
        <w:rPr>
          <w:szCs w:val="16"/>
          <w:lang w:val="fr-CA"/>
        </w:rPr>
        <w:t xml:space="preserve">.) </w:t>
      </w:r>
      <w:r w:rsidR="00E80C1E">
        <w:rPr>
          <w:szCs w:val="16"/>
          <w:lang w:val="fr-CA"/>
        </w:rPr>
        <w:t>Certains investisseurs pourraient considérer qu’une disposition autorisant le Conseil à permettre l’achat d’une partie seulement des Nouveaux titres aux termes de l’</w:t>
      </w:r>
      <w:r w:rsidR="0006561D" w:rsidRPr="00E80C1E">
        <w:rPr>
          <w:szCs w:val="16"/>
          <w:lang w:val="fr-CA"/>
        </w:rPr>
        <w:t>article </w:t>
      </w:r>
      <w:bookmarkStart w:id="305" w:name="DocXTextRef250"/>
      <w:r w:rsidRPr="00986BEB">
        <w:rPr>
          <w:szCs w:val="16"/>
          <w:lang w:val="fr-CA"/>
        </w:rPr>
        <w:t>4</w:t>
      </w:r>
      <w:bookmarkEnd w:id="305"/>
      <w:r w:rsidRPr="00E80C1E">
        <w:rPr>
          <w:szCs w:val="16"/>
          <w:lang w:val="fr-CA"/>
        </w:rPr>
        <w:t xml:space="preserve"> </w:t>
      </w:r>
      <w:r w:rsidR="00E80C1E">
        <w:rPr>
          <w:szCs w:val="16"/>
          <w:lang w:val="fr-CA"/>
        </w:rPr>
        <w:t xml:space="preserve">supprime le droit de première offre des </w:t>
      </w:r>
      <w:r w:rsidRPr="00E80C1E">
        <w:rPr>
          <w:szCs w:val="16"/>
          <w:lang w:val="fr-CA"/>
        </w:rPr>
        <w:t>investisseurs</w:t>
      </w:r>
      <w:r w:rsidR="00E80C1E">
        <w:rPr>
          <w:szCs w:val="16"/>
          <w:lang w:val="fr-CA"/>
        </w:rPr>
        <w:t xml:space="preserve">, à moins qu’une </w:t>
      </w:r>
      <w:r w:rsidR="005B6F72">
        <w:rPr>
          <w:szCs w:val="16"/>
          <w:lang w:val="fr-CA"/>
        </w:rPr>
        <w:t>par</w:t>
      </w:r>
      <w:r w:rsidR="00E80C1E">
        <w:rPr>
          <w:szCs w:val="16"/>
          <w:lang w:val="fr-CA"/>
        </w:rPr>
        <w:t xml:space="preserve">tie minimum du nouveau placement </w:t>
      </w:r>
      <w:r w:rsidR="000E3B65">
        <w:rPr>
          <w:szCs w:val="16"/>
          <w:lang w:val="fr-CA"/>
        </w:rPr>
        <w:t xml:space="preserve">ne </w:t>
      </w:r>
      <w:r w:rsidR="00E80C1E">
        <w:rPr>
          <w:szCs w:val="16"/>
          <w:lang w:val="fr-CA"/>
        </w:rPr>
        <w:t>doive être réservée</w:t>
      </w:r>
      <w:r w:rsidRPr="00E80C1E">
        <w:rPr>
          <w:szCs w:val="16"/>
          <w:lang w:val="fr-CA"/>
        </w:rPr>
        <w:t xml:space="preserve">. </w:t>
      </w:r>
      <w:r w:rsidR="00E80C1E">
        <w:rPr>
          <w:szCs w:val="16"/>
          <w:lang w:val="fr-CA"/>
        </w:rPr>
        <w:t xml:space="preserve">Par conséquent, les actionnaires existants auront habituellement le droit de souscrire tous les </w:t>
      </w:r>
      <w:r w:rsidR="000E3B65">
        <w:rPr>
          <w:szCs w:val="16"/>
          <w:lang w:val="fr-CA"/>
        </w:rPr>
        <w:t>N</w:t>
      </w:r>
      <w:r w:rsidR="00E80C1E">
        <w:rPr>
          <w:szCs w:val="16"/>
          <w:lang w:val="fr-CA"/>
        </w:rPr>
        <w:t xml:space="preserve">ouveaux titres, mais renonceront à </w:t>
      </w:r>
      <w:r w:rsidR="005B6F72">
        <w:rPr>
          <w:szCs w:val="16"/>
          <w:lang w:val="fr-CA"/>
        </w:rPr>
        <w:t>ce</w:t>
      </w:r>
      <w:r w:rsidR="00E80C1E">
        <w:rPr>
          <w:szCs w:val="16"/>
          <w:lang w:val="fr-CA"/>
        </w:rPr>
        <w:t xml:space="preserve"> droit afin de faciliter l’investissement par </w:t>
      </w:r>
      <w:r w:rsidR="005B6F72">
        <w:rPr>
          <w:szCs w:val="16"/>
          <w:lang w:val="fr-CA"/>
        </w:rPr>
        <w:t>de</w:t>
      </w:r>
      <w:r w:rsidR="00E80C1E">
        <w:rPr>
          <w:szCs w:val="16"/>
          <w:lang w:val="fr-CA"/>
        </w:rPr>
        <w:t xml:space="preserve"> nouveaux investisseurs</w:t>
      </w:r>
      <w:r w:rsidRPr="00E80C1E">
        <w:rPr>
          <w:szCs w:val="16"/>
          <w:lang w:val="fr-CA"/>
        </w:rPr>
        <w:t>.</w:t>
      </w:r>
    </w:p>
  </w:footnote>
  <w:footnote w:id="49">
    <w:p w14:paraId="2C47EF7F" w14:textId="13888CF3"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E80C1E">
        <w:rPr>
          <w:szCs w:val="16"/>
          <w:lang w:val="fr-CA"/>
        </w:rPr>
        <w:t>La définition de ce concept de participation proportionnelle peut faire l’objet de négociations</w:t>
      </w:r>
      <w:r w:rsidRPr="00E80C1E">
        <w:rPr>
          <w:szCs w:val="16"/>
          <w:lang w:val="fr-CA"/>
        </w:rPr>
        <w:t xml:space="preserve">. </w:t>
      </w:r>
      <w:r w:rsidR="00E80C1E">
        <w:rPr>
          <w:szCs w:val="16"/>
          <w:lang w:val="fr-CA"/>
        </w:rPr>
        <w:t xml:space="preserve">Le numérateur est généralement fondé sur la propriété d’actions ordinaires ou le droit à des actions ordinaires et ne devrait inclure que </w:t>
      </w:r>
      <w:r w:rsidR="00791196">
        <w:rPr>
          <w:szCs w:val="16"/>
          <w:lang w:val="fr-CA"/>
        </w:rPr>
        <w:t xml:space="preserve">la </w:t>
      </w:r>
      <w:r w:rsidR="00D712E8">
        <w:rPr>
          <w:szCs w:val="16"/>
          <w:lang w:val="fr-CA"/>
        </w:rPr>
        <w:t>participation</w:t>
      </w:r>
      <w:r w:rsidR="00791196">
        <w:rPr>
          <w:szCs w:val="16"/>
          <w:lang w:val="fr-CA"/>
        </w:rPr>
        <w:t xml:space="preserve"> </w:t>
      </w:r>
      <w:r w:rsidR="00E80C1E">
        <w:rPr>
          <w:szCs w:val="16"/>
          <w:lang w:val="fr-CA"/>
        </w:rPr>
        <w:t>détenue par l’investisseur</w:t>
      </w:r>
      <w:r w:rsidRPr="00E80C1E">
        <w:rPr>
          <w:szCs w:val="16"/>
          <w:lang w:val="fr-CA"/>
        </w:rPr>
        <w:t xml:space="preserve">, </w:t>
      </w:r>
      <w:r w:rsidR="00E80C1E">
        <w:rPr>
          <w:szCs w:val="16"/>
          <w:lang w:val="fr-CA"/>
        </w:rPr>
        <w:t xml:space="preserve">y compris les actions ordinaires que l’investisseur peut avoir achetées </w:t>
      </w:r>
      <w:r w:rsidR="00791196">
        <w:rPr>
          <w:szCs w:val="16"/>
          <w:lang w:val="fr-CA"/>
        </w:rPr>
        <w:t>comme telles</w:t>
      </w:r>
      <w:r w:rsidR="0078132C">
        <w:rPr>
          <w:szCs w:val="16"/>
          <w:lang w:val="fr-CA"/>
        </w:rPr>
        <w:t xml:space="preserve"> </w:t>
      </w:r>
      <w:r w:rsidRPr="00E80C1E">
        <w:rPr>
          <w:szCs w:val="16"/>
          <w:lang w:val="fr-CA"/>
        </w:rPr>
        <w:t>(</w:t>
      </w:r>
      <w:r w:rsidR="00E80C1E">
        <w:rPr>
          <w:szCs w:val="16"/>
          <w:lang w:val="fr-CA"/>
        </w:rPr>
        <w:t>par exemple dans le cadre d’une opération secondaire</w:t>
      </w:r>
      <w:r w:rsidRPr="00E80C1E">
        <w:rPr>
          <w:szCs w:val="16"/>
          <w:lang w:val="fr-CA"/>
        </w:rPr>
        <w:t xml:space="preserve">). </w:t>
      </w:r>
      <w:r w:rsidR="00791196">
        <w:rPr>
          <w:szCs w:val="16"/>
          <w:lang w:val="fr-CA"/>
        </w:rPr>
        <w:t xml:space="preserve">Le dénominateur correspond habituellement aux actions ordinaires de la </w:t>
      </w:r>
      <w:r w:rsidRPr="00E80C1E">
        <w:rPr>
          <w:szCs w:val="16"/>
          <w:lang w:val="fr-CA"/>
        </w:rPr>
        <w:t xml:space="preserve">Société </w:t>
      </w:r>
      <w:r w:rsidR="00D712E8">
        <w:rPr>
          <w:szCs w:val="16"/>
          <w:lang w:val="fr-CA"/>
        </w:rPr>
        <w:t>après</w:t>
      </w:r>
      <w:r w:rsidR="00791196">
        <w:rPr>
          <w:szCs w:val="16"/>
          <w:lang w:val="fr-CA"/>
        </w:rPr>
        <w:t xml:space="preserve"> dilution avant l’émission, mais peut également être réduit </w:t>
      </w:r>
      <w:r w:rsidR="00F83FA2">
        <w:rPr>
          <w:szCs w:val="16"/>
          <w:lang w:val="fr-CA"/>
        </w:rPr>
        <w:t>pour exclure certaines options ou certains bons de souscription</w:t>
      </w:r>
      <w:r w:rsidRPr="00E80C1E">
        <w:rPr>
          <w:szCs w:val="16"/>
          <w:lang w:val="fr-CA"/>
        </w:rPr>
        <w:t xml:space="preserve">, </w:t>
      </w:r>
      <w:r w:rsidR="00F83FA2">
        <w:rPr>
          <w:szCs w:val="16"/>
          <w:lang w:val="fr-CA"/>
        </w:rPr>
        <w:t xml:space="preserve">ce qui accroîtrait le nombre d’actions disponibles aux fins d’achat par les </w:t>
      </w:r>
      <w:r w:rsidR="00D712E8">
        <w:rPr>
          <w:szCs w:val="16"/>
          <w:lang w:val="fr-CA"/>
        </w:rPr>
        <w:t xml:space="preserve">investisseurs </w:t>
      </w:r>
      <w:r w:rsidR="00F83FA2" w:rsidRPr="00D712E8">
        <w:rPr>
          <w:szCs w:val="16"/>
          <w:lang w:val="fr-CA"/>
        </w:rPr>
        <w:t>qui détiennent le</w:t>
      </w:r>
      <w:r w:rsidR="00F83FA2">
        <w:rPr>
          <w:szCs w:val="16"/>
          <w:lang w:val="fr-CA"/>
        </w:rPr>
        <w:t xml:space="preserve"> droit d’achat</w:t>
      </w:r>
      <w:r w:rsidRPr="00E80C1E">
        <w:rPr>
          <w:szCs w:val="16"/>
          <w:lang w:val="fr-CA"/>
        </w:rPr>
        <w:t xml:space="preserve">, </w:t>
      </w:r>
      <w:r w:rsidR="00F83FA2">
        <w:rPr>
          <w:szCs w:val="16"/>
          <w:lang w:val="fr-CA"/>
        </w:rPr>
        <w:t xml:space="preserve">ou peut être limité </w:t>
      </w:r>
      <w:r w:rsidRPr="00E80C1E">
        <w:rPr>
          <w:szCs w:val="16"/>
          <w:lang w:val="fr-CA"/>
        </w:rPr>
        <w:t>(</w:t>
      </w:r>
      <w:r w:rsidR="00F83FA2">
        <w:rPr>
          <w:szCs w:val="16"/>
          <w:lang w:val="fr-CA"/>
        </w:rPr>
        <w:t>comme dans la variante entre crochets</w:t>
      </w:r>
      <w:r w:rsidRPr="00E80C1E">
        <w:rPr>
          <w:szCs w:val="16"/>
          <w:lang w:val="fr-CA"/>
        </w:rPr>
        <w:t xml:space="preserve">) </w:t>
      </w:r>
      <w:r w:rsidR="00F83FA2">
        <w:rPr>
          <w:szCs w:val="16"/>
          <w:lang w:val="fr-CA"/>
        </w:rPr>
        <w:t xml:space="preserve">aux titres détenus par le groupe qui détient le droit d’achat </w:t>
      </w:r>
      <w:r w:rsidRPr="00E80C1E">
        <w:rPr>
          <w:szCs w:val="16"/>
          <w:lang w:val="fr-CA"/>
        </w:rPr>
        <w:t>(</w:t>
      </w:r>
      <w:r w:rsidR="00F83FA2">
        <w:rPr>
          <w:szCs w:val="16"/>
          <w:lang w:val="fr-CA"/>
        </w:rPr>
        <w:t>en l’occurrence, les Investisseurs importants</w:t>
      </w:r>
      <w:r w:rsidRPr="00E80C1E">
        <w:rPr>
          <w:szCs w:val="16"/>
          <w:lang w:val="fr-CA"/>
        </w:rPr>
        <w:t xml:space="preserve">), </w:t>
      </w:r>
      <w:r w:rsidR="00F83FA2">
        <w:rPr>
          <w:szCs w:val="16"/>
          <w:lang w:val="fr-CA"/>
        </w:rPr>
        <w:t>de sorte que le droit d’achat constituerait un droit préférentiel de souscription en faveur de ce groupe</w:t>
      </w:r>
      <w:r w:rsidRPr="00E80C1E">
        <w:rPr>
          <w:szCs w:val="16"/>
          <w:lang w:val="fr-CA"/>
        </w:rPr>
        <w:t>.</w:t>
      </w:r>
    </w:p>
  </w:footnote>
  <w:footnote w:id="50">
    <w:p w14:paraId="5EBB9F2C" w14:textId="1C319B11"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300032">
        <w:rPr>
          <w:szCs w:val="16"/>
          <w:lang w:val="fr-CA"/>
        </w:rPr>
        <w:t xml:space="preserve">Cette disposition, souvent appelée « surattribution », « dépassement de souscription » ou </w:t>
      </w:r>
      <w:r w:rsidRPr="00300032">
        <w:rPr>
          <w:i/>
          <w:iCs/>
          <w:szCs w:val="16"/>
          <w:lang w:val="fr-CA"/>
        </w:rPr>
        <w:t>gobble-up</w:t>
      </w:r>
      <w:r w:rsidR="00300032">
        <w:rPr>
          <w:szCs w:val="16"/>
          <w:lang w:val="fr-CA"/>
        </w:rPr>
        <w:t xml:space="preserve">, permet aux investisseurs d’acheter des actions </w:t>
      </w:r>
      <w:r w:rsidR="00D712E8">
        <w:rPr>
          <w:szCs w:val="16"/>
          <w:lang w:val="fr-CA"/>
        </w:rPr>
        <w:t xml:space="preserve">qui n’ont pas été </w:t>
      </w:r>
      <w:r w:rsidR="00300032">
        <w:rPr>
          <w:szCs w:val="16"/>
          <w:lang w:val="fr-CA"/>
        </w:rPr>
        <w:t>achetées par les autres investisseurs bénéficiant de droits d’achat et est généralement facile à négocier</w:t>
      </w:r>
      <w:r w:rsidR="00414F04">
        <w:rPr>
          <w:szCs w:val="16"/>
          <w:lang w:val="fr-CA"/>
        </w:rPr>
        <w:t>; toutefois,</w:t>
      </w:r>
      <w:r w:rsidR="00300032">
        <w:rPr>
          <w:szCs w:val="16"/>
          <w:lang w:val="fr-CA"/>
        </w:rPr>
        <w:t xml:space="preserve"> certaines sociétés peuvent refuser de permettre aux investisseurs de dépasser leur pourcentage de propriété </w:t>
      </w:r>
      <w:r w:rsidR="00414F04">
        <w:rPr>
          <w:szCs w:val="16"/>
          <w:lang w:val="fr-CA"/>
        </w:rPr>
        <w:t xml:space="preserve">actuel </w:t>
      </w:r>
      <w:r w:rsidR="00300032">
        <w:rPr>
          <w:szCs w:val="16"/>
          <w:lang w:val="fr-CA"/>
        </w:rPr>
        <w:t xml:space="preserve">dans </w:t>
      </w:r>
      <w:r w:rsidRPr="00E80C1E">
        <w:rPr>
          <w:szCs w:val="16"/>
          <w:lang w:val="fr-CA"/>
        </w:rPr>
        <w:t>la Société (</w:t>
      </w:r>
      <w:r w:rsidR="005F09F1">
        <w:rPr>
          <w:szCs w:val="16"/>
          <w:lang w:val="fr-CA"/>
        </w:rPr>
        <w:t xml:space="preserve">car cela </w:t>
      </w:r>
      <w:r w:rsidR="00300032">
        <w:rPr>
          <w:szCs w:val="16"/>
          <w:lang w:val="fr-CA"/>
        </w:rPr>
        <w:t>peut limiter le nombre d’actions offert</w:t>
      </w:r>
      <w:r w:rsidR="00414F04">
        <w:rPr>
          <w:szCs w:val="16"/>
          <w:lang w:val="fr-CA"/>
        </w:rPr>
        <w:t>e</w:t>
      </w:r>
      <w:r w:rsidR="00300032">
        <w:rPr>
          <w:szCs w:val="16"/>
          <w:lang w:val="fr-CA"/>
        </w:rPr>
        <w:t>s à d’éventuels nouveaux investisseurs</w:t>
      </w:r>
      <w:r w:rsidRPr="00E80C1E">
        <w:rPr>
          <w:szCs w:val="16"/>
          <w:lang w:val="fr-CA"/>
        </w:rPr>
        <w:t>).</w:t>
      </w:r>
    </w:p>
  </w:footnote>
  <w:footnote w:id="51">
    <w:p w14:paraId="47750D3C" w14:textId="43B4921D" w:rsidR="0059083D" w:rsidRPr="00E80C1E" w:rsidRDefault="0059083D" w:rsidP="0059083D">
      <w:pPr>
        <w:pStyle w:val="FootnoteText"/>
        <w:rPr>
          <w:lang w:val="fr-CA"/>
        </w:rPr>
      </w:pPr>
      <w:r w:rsidRPr="00986BEB">
        <w:rPr>
          <w:rStyle w:val="FootnoteReference"/>
          <w:lang w:val="fr-CA"/>
        </w:rPr>
        <w:footnoteRef/>
      </w:r>
      <w:r w:rsidRPr="00E80C1E">
        <w:rPr>
          <w:szCs w:val="16"/>
          <w:lang w:val="fr-CA"/>
        </w:rPr>
        <w:t xml:space="preserve"> </w:t>
      </w:r>
      <w:r w:rsidR="005F09F1">
        <w:rPr>
          <w:szCs w:val="16"/>
          <w:lang w:val="fr-CA"/>
        </w:rPr>
        <w:t>Ce</w:t>
      </w:r>
      <w:r w:rsidR="00073CAE">
        <w:rPr>
          <w:szCs w:val="16"/>
          <w:lang w:val="fr-CA"/>
        </w:rPr>
        <w:t xml:space="preserve">tte </w:t>
      </w:r>
      <w:r w:rsidR="005F09F1">
        <w:rPr>
          <w:szCs w:val="16"/>
          <w:lang w:val="fr-CA"/>
        </w:rPr>
        <w:t xml:space="preserve">disposition devrait généralement être conforme </w:t>
      </w:r>
      <w:r w:rsidR="00DA0045">
        <w:rPr>
          <w:szCs w:val="16"/>
          <w:lang w:val="fr-CA"/>
        </w:rPr>
        <w:t>aux exceptions à la protection antidilution prévues dans les Statuts</w:t>
      </w:r>
      <w:r w:rsidRPr="00E80C1E">
        <w:rPr>
          <w:szCs w:val="16"/>
          <w:lang w:val="fr-CA"/>
        </w:rPr>
        <w:t xml:space="preserve">. </w:t>
      </w:r>
      <w:r w:rsidR="00DA0045">
        <w:rPr>
          <w:szCs w:val="16"/>
          <w:lang w:val="fr-CA"/>
        </w:rPr>
        <w:t>Toutefois, des exclusions supplémentaires peuvent être négociées</w:t>
      </w:r>
      <w:r w:rsidR="00073CAE">
        <w:rPr>
          <w:szCs w:val="16"/>
          <w:lang w:val="fr-CA"/>
        </w:rPr>
        <w:t>,</w:t>
      </w:r>
      <w:r w:rsidR="00DA0045">
        <w:rPr>
          <w:szCs w:val="16"/>
          <w:lang w:val="fr-CA"/>
        </w:rPr>
        <w:t xml:space="preserve"> et il est possible de donner davantage de souplesse à la Société </w:t>
      </w:r>
      <w:r w:rsidR="00E852FD">
        <w:rPr>
          <w:szCs w:val="16"/>
          <w:lang w:val="fr-CA"/>
        </w:rPr>
        <w:t>dans les présentes</w:t>
      </w:r>
      <w:r w:rsidR="00073CAE">
        <w:rPr>
          <w:szCs w:val="16"/>
          <w:lang w:val="fr-CA"/>
        </w:rPr>
        <w:t xml:space="preserve"> </w:t>
      </w:r>
      <w:r w:rsidR="00DA0045">
        <w:rPr>
          <w:szCs w:val="16"/>
          <w:lang w:val="fr-CA"/>
        </w:rPr>
        <w:t xml:space="preserve">que dans les exceptions </w:t>
      </w:r>
      <w:r w:rsidR="00073CAE">
        <w:rPr>
          <w:szCs w:val="16"/>
          <w:lang w:val="fr-CA"/>
        </w:rPr>
        <w:t xml:space="preserve">similaires </w:t>
      </w:r>
      <w:r w:rsidR="00DA0045">
        <w:rPr>
          <w:szCs w:val="16"/>
          <w:lang w:val="fr-CA"/>
        </w:rPr>
        <w:t xml:space="preserve">prévues dans les Statuts, puisque les droits préférentiels de souscription sont généralement considérés comme des droits des investisseurs moins importants qu’un </w:t>
      </w:r>
      <w:r w:rsidR="00332A61">
        <w:rPr>
          <w:szCs w:val="16"/>
          <w:lang w:val="fr-CA"/>
        </w:rPr>
        <w:t xml:space="preserve">rajustement du prix de </w:t>
      </w:r>
      <w:r w:rsidRPr="00E80C1E">
        <w:rPr>
          <w:szCs w:val="16"/>
          <w:lang w:val="fr-CA"/>
        </w:rPr>
        <w:t>conversion.</w:t>
      </w:r>
    </w:p>
  </w:footnote>
  <w:footnote w:id="52">
    <w:p w14:paraId="5C590171" w14:textId="552FDA3C"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332A61">
        <w:rPr>
          <w:szCs w:val="16"/>
          <w:lang w:val="fr-CA"/>
        </w:rPr>
        <w:t>Si cette disposition est incluse dans la Convention, il convient d’accorder une attention particulière au dénominateur utilisé dans le calcul du droit de participation proportionnel. Notez que cette clause ne s’appliquera pas si le paragraphe </w:t>
      </w:r>
      <w:r w:rsidRPr="00986BEB">
        <w:rPr>
          <w:szCs w:val="16"/>
          <w:lang w:val="fr-CA"/>
        </w:rPr>
        <w:fldChar w:fldCharType="begin"/>
      </w:r>
      <w:r w:rsidRPr="00986BEB">
        <w:rPr>
          <w:szCs w:val="16"/>
          <w:lang w:val="fr-CA"/>
        </w:rPr>
        <w:instrText xml:space="preserve">  REF _Ref448380627 \w \h \* MERGEFORMAT </w:instrText>
      </w:r>
      <w:r w:rsidRPr="00986BEB">
        <w:rPr>
          <w:szCs w:val="16"/>
          <w:lang w:val="fr-CA"/>
        </w:rPr>
      </w:r>
      <w:r w:rsidRPr="00986BEB">
        <w:rPr>
          <w:szCs w:val="16"/>
          <w:lang w:val="fr-CA"/>
        </w:rPr>
        <w:fldChar w:fldCharType="separate"/>
      </w:r>
      <w:r w:rsidR="00AE1D96" w:rsidRPr="00AE1D96">
        <w:rPr>
          <w:color w:val="000000"/>
          <w:szCs w:val="16"/>
          <w:lang w:val="fr-CA"/>
        </w:rPr>
        <w:t>4.1</w:t>
      </w:r>
      <w:r w:rsidRPr="00986BEB">
        <w:rPr>
          <w:szCs w:val="16"/>
          <w:lang w:val="fr-CA"/>
        </w:rPr>
        <w:fldChar w:fldCharType="end"/>
      </w:r>
      <w:r w:rsidRPr="00E80C1E">
        <w:rPr>
          <w:szCs w:val="16"/>
          <w:lang w:val="fr-CA"/>
        </w:rPr>
        <w:t xml:space="preserve"> </w:t>
      </w:r>
      <w:r w:rsidR="00332A61">
        <w:rPr>
          <w:szCs w:val="16"/>
          <w:lang w:val="fr-CA"/>
        </w:rPr>
        <w:t>a été formulé pour accorder au</w:t>
      </w:r>
      <w:r w:rsidR="00E71AA2">
        <w:rPr>
          <w:szCs w:val="16"/>
          <w:lang w:val="fr-CA"/>
        </w:rPr>
        <w:t>x</w:t>
      </w:r>
      <w:r w:rsidR="00332A61">
        <w:rPr>
          <w:szCs w:val="16"/>
          <w:lang w:val="fr-CA"/>
        </w:rPr>
        <w:t xml:space="preserve"> </w:t>
      </w:r>
      <w:r w:rsidRPr="00E80C1E">
        <w:rPr>
          <w:szCs w:val="16"/>
          <w:lang w:val="fr-CA"/>
        </w:rPr>
        <w:t xml:space="preserve">investisseurs </w:t>
      </w:r>
      <w:r w:rsidR="00332A61">
        <w:rPr>
          <w:szCs w:val="16"/>
          <w:lang w:val="fr-CA"/>
        </w:rPr>
        <w:t>un droit préférentiel de souscription. Voir les notes </w:t>
      </w:r>
      <w:r w:rsidR="00EB41A0" w:rsidRPr="00986BEB">
        <w:rPr>
          <w:szCs w:val="16"/>
          <w:lang w:val="fr-CA"/>
        </w:rPr>
        <w:fldChar w:fldCharType="begin"/>
      </w:r>
      <w:r w:rsidR="00EB41A0" w:rsidRPr="00986BEB">
        <w:rPr>
          <w:szCs w:val="16"/>
          <w:lang w:val="fr-CA"/>
        </w:rPr>
        <w:instrText xml:space="preserve"> NOTEREF _Ref448380716 \h  \* MERGEFORMAT </w:instrText>
      </w:r>
      <w:r w:rsidR="00EB41A0" w:rsidRPr="00986BEB">
        <w:rPr>
          <w:szCs w:val="16"/>
          <w:lang w:val="fr-CA"/>
        </w:rPr>
      </w:r>
      <w:r w:rsidR="00EB41A0" w:rsidRPr="00986BEB">
        <w:rPr>
          <w:szCs w:val="16"/>
          <w:lang w:val="fr-CA"/>
        </w:rPr>
        <w:fldChar w:fldCharType="separate"/>
      </w:r>
      <w:r w:rsidR="00AE1D96">
        <w:rPr>
          <w:szCs w:val="16"/>
          <w:lang w:val="fr-CA"/>
        </w:rPr>
        <w:t>48</w:t>
      </w:r>
      <w:r w:rsidR="00EB41A0" w:rsidRPr="00986BEB">
        <w:rPr>
          <w:szCs w:val="16"/>
          <w:lang w:val="fr-CA"/>
        </w:rPr>
        <w:fldChar w:fldCharType="end"/>
      </w:r>
      <w:r w:rsidR="00EB41A0" w:rsidRPr="00E80C1E">
        <w:rPr>
          <w:szCs w:val="16"/>
          <w:lang w:val="fr-CA"/>
        </w:rPr>
        <w:t xml:space="preserve"> </w:t>
      </w:r>
      <w:r w:rsidR="00332A61">
        <w:rPr>
          <w:szCs w:val="16"/>
          <w:lang w:val="fr-CA"/>
        </w:rPr>
        <w:t>et</w:t>
      </w:r>
      <w:r w:rsidR="00EB41A0" w:rsidRPr="00E80C1E">
        <w:rPr>
          <w:szCs w:val="16"/>
          <w:lang w:val="fr-CA"/>
        </w:rPr>
        <w:t xml:space="preserve"> </w:t>
      </w:r>
      <w:r w:rsidR="00EB41A0" w:rsidRPr="00986BEB">
        <w:rPr>
          <w:szCs w:val="16"/>
          <w:lang w:val="fr-CA"/>
        </w:rPr>
        <w:fldChar w:fldCharType="begin"/>
      </w:r>
      <w:r w:rsidR="00EB41A0" w:rsidRPr="00986BEB">
        <w:rPr>
          <w:szCs w:val="16"/>
          <w:lang w:val="fr-CA"/>
        </w:rPr>
        <w:instrText xml:space="preserve"> NOTEREF _Ref448380717 \h </w:instrText>
      </w:r>
      <w:r w:rsidR="00EB41A0" w:rsidRPr="00986BEB">
        <w:rPr>
          <w:szCs w:val="16"/>
          <w:lang w:val="fr-CA"/>
        </w:rPr>
      </w:r>
      <w:r w:rsidR="00EB41A0" w:rsidRPr="00986BEB">
        <w:rPr>
          <w:szCs w:val="16"/>
          <w:lang w:val="fr-CA"/>
        </w:rPr>
        <w:fldChar w:fldCharType="separate"/>
      </w:r>
      <w:r w:rsidR="00AE1D96">
        <w:rPr>
          <w:szCs w:val="16"/>
          <w:lang w:val="fr-CA"/>
        </w:rPr>
        <w:t>49</w:t>
      </w:r>
      <w:r w:rsidR="00EB41A0" w:rsidRPr="00986BEB">
        <w:rPr>
          <w:szCs w:val="16"/>
          <w:lang w:val="fr-CA"/>
        </w:rPr>
        <w:fldChar w:fldCharType="end"/>
      </w:r>
      <w:r w:rsidRPr="00E80C1E">
        <w:rPr>
          <w:szCs w:val="16"/>
          <w:lang w:val="fr-CA"/>
        </w:rPr>
        <w:t>.</w:t>
      </w:r>
    </w:p>
  </w:footnote>
  <w:footnote w:id="53">
    <w:p w14:paraId="5D993194" w14:textId="1B20AD24" w:rsidR="00BC1FC7" w:rsidRPr="00E80C1E" w:rsidRDefault="000B08F2" w:rsidP="00D7366A">
      <w:pPr>
        <w:pStyle w:val="FootnoteText"/>
        <w:rPr>
          <w:lang w:val="fr-CA"/>
        </w:rPr>
      </w:pPr>
      <w:r w:rsidRPr="00986BEB">
        <w:rPr>
          <w:rStyle w:val="FootnoteReference"/>
          <w:lang w:val="fr-CA"/>
        </w:rPr>
        <w:footnoteRef/>
      </w:r>
      <w:r w:rsidRPr="00E80C1E">
        <w:rPr>
          <w:lang w:val="fr-CA"/>
        </w:rPr>
        <w:t xml:space="preserve"> </w:t>
      </w:r>
      <w:r w:rsidR="004E1041">
        <w:rPr>
          <w:lang w:val="fr-CA"/>
        </w:rPr>
        <w:t xml:space="preserve">Lorsque le fonds de capital de risque est également </w:t>
      </w:r>
      <w:r w:rsidR="003821B9">
        <w:rPr>
          <w:lang w:val="fr-CA"/>
        </w:rPr>
        <w:t xml:space="preserve">une </w:t>
      </w:r>
      <w:r w:rsidR="004E1041">
        <w:rPr>
          <w:lang w:val="fr-CA"/>
        </w:rPr>
        <w:t xml:space="preserve">partie indemnisée aux termes de la convention d’indemnisation, il peut être utile que la police d’assurance de la responsabilité civile des administrateurs et des dirigeants inclue un avenant </w:t>
      </w:r>
      <w:r w:rsidR="003821B9">
        <w:rPr>
          <w:lang w:val="fr-CA"/>
        </w:rPr>
        <w:t>couvrant le</w:t>
      </w:r>
      <w:r w:rsidR="004E1041">
        <w:rPr>
          <w:lang w:val="fr-CA"/>
        </w:rPr>
        <w:t xml:space="preserve"> fonds de capital de risque</w:t>
      </w:r>
      <w:r w:rsidRPr="00E80C1E">
        <w:rPr>
          <w:lang w:val="fr-CA"/>
        </w:rPr>
        <w:t>.</w:t>
      </w:r>
    </w:p>
  </w:footnote>
  <w:footnote w:id="54">
    <w:p w14:paraId="590FD953" w14:textId="6E8F0145"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4E1041">
        <w:rPr>
          <w:szCs w:val="16"/>
          <w:lang w:val="fr-CA"/>
        </w:rPr>
        <w:t>L’assurance personne</w:t>
      </w:r>
      <w:r w:rsidR="00EC6590">
        <w:rPr>
          <w:szCs w:val="16"/>
          <w:lang w:val="fr-CA"/>
        </w:rPr>
        <w:t xml:space="preserve"> </w:t>
      </w:r>
      <w:r w:rsidR="004E1041">
        <w:rPr>
          <w:szCs w:val="16"/>
          <w:lang w:val="fr-CA"/>
        </w:rPr>
        <w:t>clé ne convient pas forcément à toutes les sociétés</w:t>
      </w:r>
      <w:r w:rsidRPr="009D4254">
        <w:rPr>
          <w:szCs w:val="16"/>
          <w:lang w:val="fr-CA"/>
        </w:rPr>
        <w:t>.</w:t>
      </w:r>
      <w:r w:rsidRPr="00E80C1E">
        <w:rPr>
          <w:szCs w:val="16"/>
          <w:lang w:val="fr-CA"/>
        </w:rPr>
        <w:t xml:space="preserve"> </w:t>
      </w:r>
      <w:r w:rsidR="004E1041">
        <w:rPr>
          <w:szCs w:val="16"/>
          <w:lang w:val="fr-CA"/>
        </w:rPr>
        <w:t xml:space="preserve">L’un des avantages d’une telle assurance, si elle est </w:t>
      </w:r>
      <w:r w:rsidR="000142DA">
        <w:rPr>
          <w:szCs w:val="16"/>
          <w:lang w:val="fr-CA"/>
        </w:rPr>
        <w:t>établie correctement</w:t>
      </w:r>
      <w:r w:rsidR="004E1041">
        <w:rPr>
          <w:szCs w:val="16"/>
          <w:lang w:val="fr-CA"/>
        </w:rPr>
        <w:t>, est que le produit payable n</w:t>
      </w:r>
      <w:r w:rsidR="000142DA">
        <w:rPr>
          <w:szCs w:val="16"/>
          <w:lang w:val="fr-CA"/>
        </w:rPr>
        <w:t xml:space="preserve">e constitue pas </w:t>
      </w:r>
      <w:r w:rsidR="004E1041">
        <w:rPr>
          <w:szCs w:val="16"/>
          <w:lang w:val="fr-CA"/>
        </w:rPr>
        <w:t xml:space="preserve">un revenu imposable pour la </w:t>
      </w:r>
      <w:r w:rsidRPr="00E80C1E">
        <w:rPr>
          <w:szCs w:val="16"/>
          <w:lang w:val="fr-CA"/>
        </w:rPr>
        <w:t>Société.</w:t>
      </w:r>
      <w:r w:rsidR="004E1041">
        <w:rPr>
          <w:szCs w:val="16"/>
          <w:lang w:val="fr-CA"/>
        </w:rPr>
        <w:t xml:space="preserve"> L’avis et le consentement sont habituellement nécessaires pour obtenir le traitement fiscal favorable. La question devrait être abordée avec le courtier d’assurances de la Société</w:t>
      </w:r>
      <w:r w:rsidRPr="00E80C1E">
        <w:rPr>
          <w:szCs w:val="16"/>
          <w:lang w:val="fr-CA"/>
        </w:rPr>
        <w:t>.</w:t>
      </w:r>
    </w:p>
  </w:footnote>
  <w:footnote w:id="55">
    <w:p w14:paraId="501127D5" w14:textId="029E76A0"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4E1041">
        <w:rPr>
          <w:szCs w:val="16"/>
          <w:lang w:val="fr-CA"/>
        </w:rPr>
        <w:t xml:space="preserve">Vous devez vous </w:t>
      </w:r>
      <w:r w:rsidR="00376539">
        <w:rPr>
          <w:szCs w:val="16"/>
          <w:lang w:val="fr-CA"/>
        </w:rPr>
        <w:t>e</w:t>
      </w:r>
      <w:r w:rsidR="004E1041">
        <w:rPr>
          <w:szCs w:val="16"/>
          <w:lang w:val="fr-CA"/>
        </w:rPr>
        <w:t>n remettre aux lois du territoire où l’employé est établi pour déterminer ce qui est permis en matière de dispositions de non-concurrence</w:t>
      </w:r>
      <w:r w:rsidRPr="00E80C1E">
        <w:rPr>
          <w:szCs w:val="16"/>
          <w:lang w:val="fr-CA"/>
        </w:rPr>
        <w:t xml:space="preserve">. </w:t>
      </w:r>
      <w:r w:rsidR="004E1041">
        <w:rPr>
          <w:szCs w:val="16"/>
          <w:lang w:val="fr-CA"/>
        </w:rPr>
        <w:t xml:space="preserve">Ces dispositions </w:t>
      </w:r>
      <w:r w:rsidRPr="00E80C1E">
        <w:rPr>
          <w:szCs w:val="16"/>
          <w:lang w:val="fr-CA"/>
        </w:rPr>
        <w:t>(</w:t>
      </w:r>
      <w:r w:rsidR="004E1041">
        <w:rPr>
          <w:szCs w:val="16"/>
          <w:lang w:val="fr-CA"/>
        </w:rPr>
        <w:t>sauf dans le cadre de la vente d’une entreprise</w:t>
      </w:r>
      <w:r w:rsidRPr="00E80C1E">
        <w:rPr>
          <w:szCs w:val="16"/>
          <w:lang w:val="fr-CA"/>
        </w:rPr>
        <w:t xml:space="preserve">) </w:t>
      </w:r>
      <w:r w:rsidR="004E1041">
        <w:rPr>
          <w:szCs w:val="16"/>
          <w:lang w:val="fr-CA"/>
        </w:rPr>
        <w:t xml:space="preserve">sont interdites en </w:t>
      </w:r>
      <w:r w:rsidRPr="00E80C1E">
        <w:rPr>
          <w:szCs w:val="16"/>
          <w:lang w:val="fr-CA"/>
        </w:rPr>
        <w:t>Californi</w:t>
      </w:r>
      <w:r w:rsidR="004E1041">
        <w:rPr>
          <w:szCs w:val="16"/>
          <w:lang w:val="fr-CA"/>
        </w:rPr>
        <w:t>e</w:t>
      </w:r>
      <w:r w:rsidRPr="00E80C1E">
        <w:rPr>
          <w:szCs w:val="16"/>
          <w:lang w:val="fr-CA"/>
        </w:rPr>
        <w:t xml:space="preserve"> </w:t>
      </w:r>
      <w:r w:rsidR="004E1041">
        <w:rPr>
          <w:szCs w:val="16"/>
          <w:lang w:val="fr-CA"/>
        </w:rPr>
        <w:t>et pourraient ne pas être exécutoires dans d’autres territoires. En outre, certains investisseurs n’exigent pas de telles ententes, par principe ou par crainte que les employés demandent une contrepartie supplémentaire en échange de la signature d’une entente de non-concurrence ou de non-sollicitation</w:t>
      </w:r>
      <w:r w:rsidRPr="00E80C1E">
        <w:rPr>
          <w:szCs w:val="16"/>
          <w:lang w:val="fr-CA"/>
        </w:rPr>
        <w:t xml:space="preserve"> (</w:t>
      </w:r>
      <w:r w:rsidR="004E1041">
        <w:rPr>
          <w:szCs w:val="16"/>
          <w:lang w:val="fr-CA"/>
        </w:rPr>
        <w:t>et une telle entente pourrait effectivement être invalide en l’absence de contrepartie supplémentaire</w:t>
      </w:r>
      <w:r w:rsidRPr="00E80C1E">
        <w:rPr>
          <w:szCs w:val="16"/>
          <w:lang w:val="fr-CA"/>
        </w:rPr>
        <w:t xml:space="preserve">). </w:t>
      </w:r>
      <w:r w:rsidR="004E1041">
        <w:rPr>
          <w:szCs w:val="16"/>
          <w:lang w:val="fr-CA"/>
        </w:rPr>
        <w:t>D’autres sont d’avis qu’il revient au Conseil de décider au cas par cas si un employé clé en particulier doit ou non signer une telle entente</w:t>
      </w:r>
      <w:r w:rsidRPr="00E80C1E">
        <w:rPr>
          <w:szCs w:val="16"/>
          <w:lang w:val="fr-CA"/>
        </w:rPr>
        <w:t xml:space="preserve">. </w:t>
      </w:r>
      <w:r w:rsidR="004E1041">
        <w:rPr>
          <w:szCs w:val="16"/>
          <w:lang w:val="fr-CA"/>
        </w:rPr>
        <w:t xml:space="preserve">Aux États-Unis, les ententes de non-concurrence ont habituellement une durée de un </w:t>
      </w:r>
      <w:r w:rsidRPr="00E80C1E">
        <w:rPr>
          <w:szCs w:val="16"/>
          <w:lang w:val="fr-CA"/>
        </w:rPr>
        <w:t>(</w:t>
      </w:r>
      <w:r w:rsidRPr="00986BEB">
        <w:rPr>
          <w:szCs w:val="16"/>
          <w:lang w:val="fr-CA"/>
        </w:rPr>
        <w:t>1</w:t>
      </w:r>
      <w:r w:rsidRPr="00E80C1E">
        <w:rPr>
          <w:szCs w:val="16"/>
          <w:lang w:val="fr-CA"/>
        </w:rPr>
        <w:t>)</w:t>
      </w:r>
      <w:r w:rsidR="004E1041">
        <w:rPr>
          <w:szCs w:val="16"/>
          <w:lang w:val="fr-CA"/>
        </w:rPr>
        <w:t> an</w:t>
      </w:r>
      <w:r w:rsidRPr="00E80C1E">
        <w:rPr>
          <w:szCs w:val="16"/>
          <w:lang w:val="fr-CA"/>
        </w:rPr>
        <w:t xml:space="preserve">, </w:t>
      </w:r>
      <w:r w:rsidR="004E1041">
        <w:rPr>
          <w:szCs w:val="16"/>
          <w:lang w:val="fr-CA"/>
        </w:rPr>
        <w:t xml:space="preserve">bien que certaines lois étatiques permettent une durée pouvant atteindre deux </w:t>
      </w:r>
      <w:r w:rsidRPr="00E80C1E">
        <w:rPr>
          <w:szCs w:val="16"/>
          <w:lang w:val="fr-CA"/>
        </w:rPr>
        <w:t>(</w:t>
      </w:r>
      <w:r w:rsidRPr="00986BEB">
        <w:rPr>
          <w:szCs w:val="16"/>
          <w:lang w:val="fr-CA"/>
        </w:rPr>
        <w:t>2</w:t>
      </w:r>
      <w:r w:rsidRPr="00E80C1E">
        <w:rPr>
          <w:szCs w:val="16"/>
          <w:lang w:val="fr-CA"/>
        </w:rPr>
        <w:t>)</w:t>
      </w:r>
      <w:r w:rsidR="004E1041">
        <w:rPr>
          <w:szCs w:val="16"/>
          <w:lang w:val="fr-CA"/>
        </w:rPr>
        <w:t> ans</w:t>
      </w:r>
      <w:r w:rsidRPr="00E80C1E">
        <w:rPr>
          <w:szCs w:val="16"/>
          <w:lang w:val="fr-CA"/>
        </w:rPr>
        <w:t xml:space="preserve">. </w:t>
      </w:r>
      <w:r w:rsidR="004E1041">
        <w:rPr>
          <w:szCs w:val="16"/>
          <w:lang w:val="fr-CA"/>
        </w:rPr>
        <w:t xml:space="preserve">Au </w:t>
      </w:r>
      <w:r w:rsidRPr="00E80C1E">
        <w:rPr>
          <w:szCs w:val="16"/>
          <w:lang w:val="fr-CA"/>
        </w:rPr>
        <w:t xml:space="preserve">Canada, </w:t>
      </w:r>
      <w:r w:rsidR="004E1041">
        <w:rPr>
          <w:szCs w:val="16"/>
          <w:lang w:val="fr-CA"/>
        </w:rPr>
        <w:t xml:space="preserve">les ententes de non-concurrence </w:t>
      </w:r>
      <w:r w:rsidRPr="00E80C1E">
        <w:rPr>
          <w:szCs w:val="16"/>
          <w:lang w:val="fr-CA"/>
        </w:rPr>
        <w:t>(</w:t>
      </w:r>
      <w:r w:rsidR="004E1041">
        <w:rPr>
          <w:szCs w:val="16"/>
          <w:lang w:val="fr-CA"/>
        </w:rPr>
        <w:t>sauf dans le cadre de la vente d’une entreprise</w:t>
      </w:r>
      <w:r w:rsidRPr="00E80C1E">
        <w:rPr>
          <w:szCs w:val="16"/>
          <w:lang w:val="fr-CA"/>
        </w:rPr>
        <w:t xml:space="preserve">) </w:t>
      </w:r>
      <w:r w:rsidR="004E1041">
        <w:rPr>
          <w:szCs w:val="16"/>
          <w:lang w:val="fr-CA"/>
        </w:rPr>
        <w:t xml:space="preserve">ont habituellement une durée maximale de un </w:t>
      </w:r>
      <w:r w:rsidRPr="00E80C1E">
        <w:rPr>
          <w:szCs w:val="16"/>
          <w:lang w:val="fr-CA"/>
        </w:rPr>
        <w:t>(</w:t>
      </w:r>
      <w:r w:rsidRPr="00986BEB">
        <w:rPr>
          <w:szCs w:val="16"/>
          <w:lang w:val="fr-CA"/>
        </w:rPr>
        <w:t>1</w:t>
      </w:r>
      <w:r w:rsidRPr="00E80C1E">
        <w:rPr>
          <w:szCs w:val="16"/>
          <w:lang w:val="fr-CA"/>
        </w:rPr>
        <w:t>)</w:t>
      </w:r>
      <w:r w:rsidR="004E1041">
        <w:rPr>
          <w:szCs w:val="16"/>
          <w:lang w:val="fr-CA"/>
        </w:rPr>
        <w:t xml:space="preserve"> an pour les membres de la haute direction et </w:t>
      </w:r>
      <w:r w:rsidR="00376539">
        <w:rPr>
          <w:szCs w:val="16"/>
          <w:lang w:val="fr-CA"/>
        </w:rPr>
        <w:t xml:space="preserve">une </w:t>
      </w:r>
      <w:r w:rsidR="004E1041">
        <w:rPr>
          <w:szCs w:val="16"/>
          <w:lang w:val="fr-CA"/>
        </w:rPr>
        <w:t>durée plus court</w:t>
      </w:r>
      <w:r w:rsidR="00376539">
        <w:rPr>
          <w:szCs w:val="16"/>
          <w:lang w:val="fr-CA"/>
        </w:rPr>
        <w:t>e</w:t>
      </w:r>
      <w:r w:rsidR="004E1041">
        <w:rPr>
          <w:szCs w:val="16"/>
          <w:lang w:val="fr-CA"/>
        </w:rPr>
        <w:t xml:space="preserve"> pour les employés occupant des échelons inférieurs</w:t>
      </w:r>
      <w:r w:rsidRPr="00E80C1E">
        <w:rPr>
          <w:szCs w:val="16"/>
          <w:lang w:val="fr-CA"/>
        </w:rPr>
        <w:t>.</w:t>
      </w:r>
    </w:p>
  </w:footnote>
  <w:footnote w:id="56">
    <w:p w14:paraId="3D31F8AF" w14:textId="6FD8FD67"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F741DA">
        <w:rPr>
          <w:lang w:val="fr-CA"/>
        </w:rPr>
        <w:t>Les c</w:t>
      </w:r>
      <w:r w:rsidRPr="00E80C1E">
        <w:rPr>
          <w:lang w:val="fr-CA"/>
        </w:rPr>
        <w:t xml:space="preserve">onsultants </w:t>
      </w:r>
      <w:r w:rsidR="004E1041">
        <w:rPr>
          <w:lang w:val="fr-CA"/>
        </w:rPr>
        <w:t xml:space="preserve">sont rarement soumis à un calendrier </w:t>
      </w:r>
      <w:r w:rsidR="004E1041" w:rsidRPr="00D74912">
        <w:rPr>
          <w:lang w:val="fr-CA"/>
        </w:rPr>
        <w:t>d’acquisition en bloc</w:t>
      </w:r>
      <w:r w:rsidR="004E1041">
        <w:rPr>
          <w:lang w:val="fr-CA"/>
        </w:rPr>
        <w:t xml:space="preserve"> </w:t>
      </w:r>
      <w:r w:rsidR="00504844">
        <w:rPr>
          <w:lang w:val="fr-CA"/>
        </w:rPr>
        <w:t xml:space="preserve">standard </w:t>
      </w:r>
      <w:r w:rsidR="004E1041">
        <w:rPr>
          <w:lang w:val="fr-CA"/>
        </w:rPr>
        <w:t xml:space="preserve">sur quatre </w:t>
      </w:r>
      <w:r w:rsidRPr="00E80C1E">
        <w:rPr>
          <w:lang w:val="fr-CA"/>
        </w:rPr>
        <w:t>(</w:t>
      </w:r>
      <w:r w:rsidRPr="00986BEB">
        <w:rPr>
          <w:lang w:val="fr-CA"/>
        </w:rPr>
        <w:t>4</w:t>
      </w:r>
      <w:r w:rsidRPr="00E80C1E">
        <w:rPr>
          <w:lang w:val="fr-CA"/>
        </w:rPr>
        <w:t>)</w:t>
      </w:r>
      <w:r w:rsidR="004E1041">
        <w:rPr>
          <w:lang w:val="fr-CA"/>
        </w:rPr>
        <w:t> ans</w:t>
      </w:r>
      <w:r w:rsidRPr="00E80C1E">
        <w:rPr>
          <w:lang w:val="fr-CA"/>
        </w:rPr>
        <w:t xml:space="preserve">, </w:t>
      </w:r>
      <w:r w:rsidR="004E1041">
        <w:rPr>
          <w:lang w:val="fr-CA"/>
        </w:rPr>
        <w:t xml:space="preserve">et il arrive souvent que les </w:t>
      </w:r>
      <w:r w:rsidR="00F741DA">
        <w:rPr>
          <w:lang w:val="fr-CA"/>
        </w:rPr>
        <w:t xml:space="preserve">droits rattachés aux </w:t>
      </w:r>
      <w:r w:rsidR="004E1041">
        <w:rPr>
          <w:lang w:val="fr-CA"/>
        </w:rPr>
        <w:t>attributions consenties à des employés ne soient pas acquis en bloc</w:t>
      </w:r>
      <w:r w:rsidRPr="00E80C1E">
        <w:rPr>
          <w:lang w:val="fr-CA"/>
        </w:rPr>
        <w:t xml:space="preserve">. </w:t>
      </w:r>
      <w:r w:rsidR="004E1041">
        <w:rPr>
          <w:lang w:val="fr-CA"/>
        </w:rPr>
        <w:t xml:space="preserve">Si </w:t>
      </w:r>
      <w:r w:rsidRPr="00E80C1E">
        <w:rPr>
          <w:lang w:val="fr-CA"/>
        </w:rPr>
        <w:t xml:space="preserve">les investisseurs </w:t>
      </w:r>
      <w:r w:rsidR="004E1041">
        <w:rPr>
          <w:lang w:val="fr-CA"/>
        </w:rPr>
        <w:t xml:space="preserve">jugent important de fixer un calendrier d’acquisition </w:t>
      </w:r>
      <w:r w:rsidRPr="00E80C1E">
        <w:rPr>
          <w:lang w:val="fr-CA"/>
        </w:rPr>
        <w:t xml:space="preserve">standard </w:t>
      </w:r>
      <w:r w:rsidR="004E1041">
        <w:rPr>
          <w:lang w:val="fr-CA"/>
        </w:rPr>
        <w:t xml:space="preserve">pour les « consultants » et un autre </w:t>
      </w:r>
      <w:r w:rsidR="00EC6590">
        <w:rPr>
          <w:lang w:val="fr-CA"/>
        </w:rPr>
        <w:t xml:space="preserve">pour </w:t>
      </w:r>
      <w:r w:rsidR="004E1041">
        <w:rPr>
          <w:lang w:val="fr-CA"/>
        </w:rPr>
        <w:t>les « employés existants », il convient de déterminer les calendriers appropriés en consultation avec la Société et de modifier la disposition en conséquence</w:t>
      </w:r>
      <w:r w:rsidRPr="00E80C1E">
        <w:rPr>
          <w:lang w:val="fr-CA"/>
        </w:rPr>
        <w:t>.</w:t>
      </w:r>
    </w:p>
  </w:footnote>
  <w:footnote w:id="57">
    <w:p w14:paraId="411E3767" w14:textId="726A2C26" w:rsidR="00BC1FC7" w:rsidRPr="00E80C1E" w:rsidRDefault="000B08F2" w:rsidP="00F315A0">
      <w:pPr>
        <w:pStyle w:val="FootnoteText"/>
        <w:rPr>
          <w:lang w:val="fr-CA"/>
        </w:rPr>
      </w:pPr>
      <w:r w:rsidRPr="00986BEB">
        <w:rPr>
          <w:rStyle w:val="FootnoteReference"/>
          <w:lang w:val="fr-CA"/>
        </w:rPr>
        <w:footnoteRef/>
      </w:r>
      <w:r w:rsidRPr="00E80C1E">
        <w:rPr>
          <w:lang w:val="fr-CA"/>
        </w:rPr>
        <w:t xml:space="preserve"> </w:t>
      </w:r>
      <w:r w:rsidR="004E1041">
        <w:rPr>
          <w:lang w:val="fr-CA"/>
        </w:rPr>
        <w:t xml:space="preserve">Les avocats </w:t>
      </w:r>
      <w:r w:rsidR="00504844">
        <w:rPr>
          <w:lang w:val="fr-CA"/>
        </w:rPr>
        <w:t xml:space="preserve">peuvent envisager </w:t>
      </w:r>
      <w:r w:rsidR="004E1041">
        <w:rPr>
          <w:lang w:val="fr-CA"/>
        </w:rPr>
        <w:t xml:space="preserve">d’interdire les émissions subséquentes d’actions de négociation restreinte ou les attributions d’options d’achat d’actions comportant des dispositions d’acquisition anticipée </w:t>
      </w:r>
      <w:r w:rsidR="00504844">
        <w:rPr>
          <w:lang w:val="fr-CA"/>
        </w:rPr>
        <w:t xml:space="preserve">dans certaines circonstances ou </w:t>
      </w:r>
      <w:r w:rsidR="004E1041">
        <w:rPr>
          <w:lang w:val="fr-CA"/>
        </w:rPr>
        <w:t xml:space="preserve">à la survenance de certains événements </w:t>
      </w:r>
      <w:r w:rsidRPr="00E80C1E">
        <w:rPr>
          <w:lang w:val="fr-CA"/>
        </w:rPr>
        <w:t>(</w:t>
      </w:r>
      <w:r w:rsidR="00504844">
        <w:rPr>
          <w:lang w:val="fr-CA"/>
        </w:rPr>
        <w:t xml:space="preserve">en plus de </w:t>
      </w:r>
      <w:r w:rsidR="004E1041">
        <w:rPr>
          <w:lang w:val="fr-CA"/>
        </w:rPr>
        <w:t>ce</w:t>
      </w:r>
      <w:r w:rsidR="00504844">
        <w:rPr>
          <w:lang w:val="fr-CA"/>
        </w:rPr>
        <w:t xml:space="preserve">ux </w:t>
      </w:r>
      <w:r w:rsidR="004E1041">
        <w:rPr>
          <w:lang w:val="fr-CA"/>
        </w:rPr>
        <w:t xml:space="preserve">qui </w:t>
      </w:r>
      <w:r w:rsidR="00504844">
        <w:rPr>
          <w:lang w:val="fr-CA"/>
        </w:rPr>
        <w:t xml:space="preserve">sont </w:t>
      </w:r>
      <w:r w:rsidR="004E1041">
        <w:rPr>
          <w:lang w:val="fr-CA"/>
        </w:rPr>
        <w:t>déjà prévu</w:t>
      </w:r>
      <w:r w:rsidR="00504844">
        <w:rPr>
          <w:lang w:val="fr-CA"/>
        </w:rPr>
        <w:t>s</w:t>
      </w:r>
      <w:r w:rsidR="004E1041">
        <w:rPr>
          <w:lang w:val="fr-CA"/>
        </w:rPr>
        <w:t xml:space="preserve"> dans un régime de titres de capitaux propres ou d’options déjà approuvé</w:t>
      </w:r>
      <w:r w:rsidRPr="00E80C1E">
        <w:rPr>
          <w:lang w:val="fr-CA"/>
        </w:rPr>
        <w:t xml:space="preserve">) </w:t>
      </w:r>
      <w:r w:rsidR="004E1041">
        <w:rPr>
          <w:lang w:val="fr-CA"/>
        </w:rPr>
        <w:t xml:space="preserve">sans l’approbation du </w:t>
      </w:r>
      <w:r w:rsidRPr="00E80C1E">
        <w:rPr>
          <w:lang w:val="fr-CA"/>
        </w:rPr>
        <w:t xml:space="preserve">Conseil d’administration[, </w:t>
      </w:r>
      <w:r w:rsidR="004E1041">
        <w:rPr>
          <w:lang w:val="fr-CA"/>
        </w:rPr>
        <w:t>y compris le Vote requis des Administrateurs privilégiés</w:t>
      </w:r>
      <w:r w:rsidRPr="00E80C1E">
        <w:rPr>
          <w:lang w:val="fr-CA"/>
        </w:rPr>
        <w:t>].</w:t>
      </w:r>
    </w:p>
  </w:footnote>
  <w:footnote w:id="58">
    <w:p w14:paraId="3F403E7D" w14:textId="5E0AFD7E"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4E1041">
        <w:rPr>
          <w:lang w:val="fr-CA"/>
        </w:rPr>
        <w:t xml:space="preserve">Il y </w:t>
      </w:r>
      <w:r w:rsidR="00EC6590">
        <w:rPr>
          <w:lang w:val="fr-CA"/>
        </w:rPr>
        <w:t xml:space="preserve">a </w:t>
      </w:r>
      <w:r w:rsidR="004E1041">
        <w:rPr>
          <w:lang w:val="fr-CA"/>
        </w:rPr>
        <w:t xml:space="preserve">divergence d’intérêts entre </w:t>
      </w:r>
      <w:r w:rsidRPr="00E80C1E">
        <w:rPr>
          <w:lang w:val="fr-CA"/>
        </w:rPr>
        <w:t xml:space="preserve">la Société </w:t>
      </w:r>
      <w:r w:rsidR="004E1041">
        <w:rPr>
          <w:lang w:val="fr-CA"/>
        </w:rPr>
        <w:t xml:space="preserve">et les </w:t>
      </w:r>
      <w:r w:rsidRPr="00E80C1E">
        <w:rPr>
          <w:lang w:val="fr-CA"/>
        </w:rPr>
        <w:t xml:space="preserve">investisseurs </w:t>
      </w:r>
      <w:r w:rsidR="004E1041">
        <w:rPr>
          <w:lang w:val="fr-CA"/>
        </w:rPr>
        <w:t xml:space="preserve">quant à savoir si certaines mesures devraient être soumises à l’approbation du représentant des </w:t>
      </w:r>
      <w:r w:rsidRPr="00E80C1E">
        <w:rPr>
          <w:lang w:val="fr-CA"/>
        </w:rPr>
        <w:t>investisseurs</w:t>
      </w:r>
      <w:r w:rsidR="004E1041">
        <w:rPr>
          <w:lang w:val="fr-CA"/>
        </w:rPr>
        <w:t xml:space="preserve"> au Conseil</w:t>
      </w:r>
      <w:r w:rsidRPr="00E80C1E">
        <w:rPr>
          <w:lang w:val="fr-CA"/>
        </w:rPr>
        <w:t xml:space="preserve">. </w:t>
      </w:r>
      <w:r w:rsidR="004E1041">
        <w:rPr>
          <w:lang w:val="fr-CA"/>
        </w:rPr>
        <w:t>Il est possible de formuler cette disposition autrement, par exemple en exigeant le vote de la majorité qualifiée des membres du Conseil ou de la majorité des administrateurs non membres de la direction</w:t>
      </w:r>
      <w:r w:rsidRPr="00E80C1E">
        <w:rPr>
          <w:lang w:val="fr-CA"/>
        </w:rPr>
        <w:t xml:space="preserve">. </w:t>
      </w:r>
      <w:r w:rsidR="004E1041">
        <w:rPr>
          <w:lang w:val="fr-CA"/>
        </w:rPr>
        <w:t>D’autres dispositions portant sur des opérations particulières pourraient être ajoutées à la liste</w:t>
      </w:r>
      <w:r w:rsidR="009D4DD7">
        <w:rPr>
          <w:lang w:val="fr-CA"/>
        </w:rPr>
        <w:t xml:space="preserve">; en revanche, </w:t>
      </w:r>
      <w:r w:rsidR="004E1041">
        <w:rPr>
          <w:lang w:val="fr-CA"/>
        </w:rPr>
        <w:t>des dispositions incluses aux présentes pourraient ne pas convenir à une opération donnée</w:t>
      </w:r>
      <w:r w:rsidRPr="00E80C1E">
        <w:rPr>
          <w:lang w:val="fr-CA"/>
        </w:rPr>
        <w:t xml:space="preserve">. </w:t>
      </w:r>
      <w:r w:rsidR="004E1041">
        <w:rPr>
          <w:lang w:val="fr-CA"/>
        </w:rPr>
        <w:t xml:space="preserve">Ces dispositions devraient également être harmonisées avec les droits d’approbation spéciaux des investisseurs </w:t>
      </w:r>
      <w:r w:rsidRPr="00E80C1E">
        <w:rPr>
          <w:lang w:val="fr-CA"/>
        </w:rPr>
        <w:t>(</w:t>
      </w:r>
      <w:r w:rsidR="009D4DD7">
        <w:rPr>
          <w:lang w:val="fr-CA"/>
        </w:rPr>
        <w:t xml:space="preserve">qu’on appelle </w:t>
      </w:r>
      <w:r w:rsidR="004E1041">
        <w:rPr>
          <w:lang w:val="fr-CA"/>
        </w:rPr>
        <w:t>« dispositions de protection »</w:t>
      </w:r>
      <w:r w:rsidRPr="00E80C1E">
        <w:rPr>
          <w:lang w:val="fr-CA"/>
        </w:rPr>
        <w:t xml:space="preserve">) </w:t>
      </w:r>
      <w:r w:rsidR="004E1041">
        <w:rPr>
          <w:lang w:val="fr-CA"/>
        </w:rPr>
        <w:t>prévus dans les Statuts afin d’éviter les chevauchements</w:t>
      </w:r>
      <w:r w:rsidRPr="00E80C1E">
        <w:rPr>
          <w:lang w:val="fr-CA"/>
        </w:rPr>
        <w:t xml:space="preserve">. </w:t>
      </w:r>
      <w:r w:rsidR="004E1041">
        <w:rPr>
          <w:lang w:val="fr-CA"/>
        </w:rPr>
        <w:t xml:space="preserve">Pour déterminer si l’approbation des actionnaires </w:t>
      </w:r>
      <w:r w:rsidRPr="00E80C1E">
        <w:rPr>
          <w:lang w:val="fr-CA"/>
        </w:rPr>
        <w:t>(</w:t>
      </w:r>
      <w:r w:rsidR="004E1041">
        <w:rPr>
          <w:lang w:val="fr-CA"/>
        </w:rPr>
        <w:t>les dispositions de protection des Statuts</w:t>
      </w:r>
      <w:r w:rsidRPr="00E80C1E">
        <w:rPr>
          <w:lang w:val="fr-CA"/>
        </w:rPr>
        <w:t xml:space="preserve">) </w:t>
      </w:r>
      <w:r w:rsidR="004E1041">
        <w:rPr>
          <w:lang w:val="fr-CA"/>
        </w:rPr>
        <w:t>ou l’approbation des administrateurs est nécessaire à l’égard d’une question donnée</w:t>
      </w:r>
      <w:r w:rsidRPr="00E80C1E">
        <w:rPr>
          <w:lang w:val="fr-CA"/>
        </w:rPr>
        <w:t xml:space="preserve">, </w:t>
      </w:r>
      <w:r w:rsidR="004E1041">
        <w:rPr>
          <w:lang w:val="fr-CA"/>
        </w:rPr>
        <w:t>il faut prendre en considération</w:t>
      </w:r>
      <w:r w:rsidR="00023F37">
        <w:rPr>
          <w:lang w:val="fr-CA"/>
        </w:rPr>
        <w:t> :</w:t>
      </w:r>
      <w:r w:rsidR="009D4DD7">
        <w:rPr>
          <w:lang w:val="fr-CA"/>
        </w:rPr>
        <w:t xml:space="preserve"> </w:t>
      </w:r>
      <w:r w:rsidRPr="00E80C1E">
        <w:rPr>
          <w:lang w:val="fr-CA"/>
        </w:rPr>
        <w:t>(</w:t>
      </w:r>
      <w:r w:rsidRPr="00986BEB">
        <w:rPr>
          <w:lang w:val="fr-CA"/>
        </w:rPr>
        <w:t>1</w:t>
      </w:r>
      <w:r w:rsidRPr="00E80C1E">
        <w:rPr>
          <w:lang w:val="fr-CA"/>
        </w:rPr>
        <w:t>)</w:t>
      </w:r>
      <w:r w:rsidR="004E1041">
        <w:rPr>
          <w:lang w:val="fr-CA"/>
        </w:rPr>
        <w:t> </w:t>
      </w:r>
      <w:r w:rsidR="00023F37">
        <w:rPr>
          <w:lang w:val="fr-CA"/>
        </w:rPr>
        <w:t xml:space="preserve">le fait que </w:t>
      </w:r>
      <w:r w:rsidR="004E1041">
        <w:rPr>
          <w:lang w:val="fr-CA"/>
        </w:rPr>
        <w:t>les administrateurs, contrairement aux investisseurs, ont des obligations fiduciaires</w:t>
      </w:r>
      <w:r w:rsidRPr="00E80C1E">
        <w:rPr>
          <w:lang w:val="fr-CA"/>
        </w:rPr>
        <w:t>; (</w:t>
      </w:r>
      <w:r w:rsidRPr="00986BEB">
        <w:rPr>
          <w:lang w:val="fr-CA"/>
        </w:rPr>
        <w:t>2</w:t>
      </w:r>
      <w:r w:rsidRPr="00E80C1E">
        <w:rPr>
          <w:lang w:val="fr-CA"/>
        </w:rPr>
        <w:t>)</w:t>
      </w:r>
      <w:r w:rsidR="004E1041">
        <w:rPr>
          <w:lang w:val="fr-CA"/>
        </w:rPr>
        <w:t> </w:t>
      </w:r>
      <w:r w:rsidR="00023F37">
        <w:rPr>
          <w:lang w:val="fr-CA"/>
        </w:rPr>
        <w:t xml:space="preserve">le fait que, </w:t>
      </w:r>
      <w:r w:rsidR="004E1041">
        <w:rPr>
          <w:lang w:val="fr-CA"/>
        </w:rPr>
        <w:t>du point de vue pratique, il est plus facile d’obtenir l’approbation du conseil que celle des actionnaires</w:t>
      </w:r>
      <w:r w:rsidRPr="00E80C1E">
        <w:rPr>
          <w:lang w:val="fr-CA"/>
        </w:rPr>
        <w:t xml:space="preserve">; </w:t>
      </w:r>
      <w:r w:rsidR="004E1041">
        <w:rPr>
          <w:lang w:val="fr-CA"/>
        </w:rPr>
        <w:t xml:space="preserve">et </w:t>
      </w:r>
      <w:r w:rsidRPr="00E80C1E">
        <w:rPr>
          <w:lang w:val="fr-CA"/>
        </w:rPr>
        <w:t>(</w:t>
      </w:r>
      <w:r w:rsidRPr="00986BEB">
        <w:rPr>
          <w:lang w:val="fr-CA"/>
        </w:rPr>
        <w:t>3</w:t>
      </w:r>
      <w:r w:rsidRPr="00E80C1E">
        <w:rPr>
          <w:lang w:val="fr-CA"/>
        </w:rPr>
        <w:t>)</w:t>
      </w:r>
      <w:r w:rsidR="004E1041">
        <w:rPr>
          <w:lang w:val="fr-CA"/>
        </w:rPr>
        <w:t> la proportion d’actions privilégiées détenues par les fonds dont des associés siègent au Conseil</w:t>
      </w:r>
      <w:r w:rsidRPr="00E80C1E">
        <w:rPr>
          <w:lang w:val="fr-CA"/>
        </w:rPr>
        <w:t>.</w:t>
      </w:r>
    </w:p>
  </w:footnote>
  <w:footnote w:id="59">
    <w:p w14:paraId="1EAA139C" w14:textId="6B1B1943" w:rsidR="00BC1FC7" w:rsidRPr="00E80C1E" w:rsidRDefault="000B08F2" w:rsidP="00C9438A">
      <w:pPr>
        <w:pStyle w:val="FootnoteText"/>
        <w:rPr>
          <w:lang w:val="fr-CA"/>
        </w:rPr>
      </w:pPr>
      <w:r w:rsidRPr="00986BEB">
        <w:rPr>
          <w:rStyle w:val="FootnoteReference"/>
          <w:lang w:val="fr-CA"/>
        </w:rPr>
        <w:footnoteRef/>
      </w:r>
      <w:r w:rsidRPr="00E80C1E">
        <w:rPr>
          <w:lang w:val="fr-CA"/>
        </w:rPr>
        <w:t xml:space="preserve"> </w:t>
      </w:r>
      <w:r w:rsidR="00DD369C">
        <w:rPr>
          <w:lang w:val="fr-CA"/>
        </w:rPr>
        <w:t xml:space="preserve">Convient aux sociétés bien établies </w:t>
      </w:r>
      <w:r w:rsidRPr="00E80C1E">
        <w:rPr>
          <w:lang w:val="fr-CA"/>
        </w:rPr>
        <w:t xml:space="preserve">et/ou </w:t>
      </w:r>
      <w:r w:rsidR="00DD369C">
        <w:rPr>
          <w:lang w:val="fr-CA"/>
        </w:rPr>
        <w:t>aux grands conseils</w:t>
      </w:r>
      <w:r w:rsidRPr="00E80C1E">
        <w:rPr>
          <w:lang w:val="fr-CA"/>
        </w:rPr>
        <w:t>.</w:t>
      </w:r>
    </w:p>
  </w:footnote>
  <w:footnote w:id="60">
    <w:p w14:paraId="78FAE146" w14:textId="000A44BD" w:rsidR="00600572" w:rsidRPr="00E80C1E" w:rsidRDefault="00600572" w:rsidP="00600572">
      <w:pPr>
        <w:pStyle w:val="FootnoteText"/>
        <w:rPr>
          <w:lang w:val="fr-CA"/>
        </w:rPr>
      </w:pPr>
      <w:r w:rsidRPr="00986BEB">
        <w:rPr>
          <w:rStyle w:val="FootnoteReference"/>
          <w:lang w:val="fr-CA"/>
        </w:rPr>
        <w:footnoteRef/>
      </w:r>
      <w:r w:rsidRPr="00E80C1E">
        <w:rPr>
          <w:szCs w:val="16"/>
          <w:lang w:val="fr-CA"/>
        </w:rPr>
        <w:t xml:space="preserve"> </w:t>
      </w:r>
      <w:r>
        <w:rPr>
          <w:szCs w:val="16"/>
          <w:lang w:val="fr-CA"/>
        </w:rPr>
        <w:t xml:space="preserve">Les investisseurs trouvent parfois que leurs intérêts ne sont pas </w:t>
      </w:r>
      <w:r w:rsidR="00B60284">
        <w:rPr>
          <w:szCs w:val="16"/>
          <w:lang w:val="fr-CA"/>
        </w:rPr>
        <w:t xml:space="preserve">en parfaite </w:t>
      </w:r>
      <w:r>
        <w:rPr>
          <w:szCs w:val="16"/>
          <w:lang w:val="fr-CA"/>
        </w:rPr>
        <w:t>harmoni</w:t>
      </w:r>
      <w:r w:rsidR="00B60284">
        <w:rPr>
          <w:szCs w:val="16"/>
          <w:lang w:val="fr-CA"/>
        </w:rPr>
        <w:t>e</w:t>
      </w:r>
      <w:r>
        <w:rPr>
          <w:szCs w:val="16"/>
          <w:lang w:val="fr-CA"/>
        </w:rPr>
        <w:t xml:space="preserve"> avec ceux de la direction </w:t>
      </w:r>
      <w:r w:rsidR="00B60284">
        <w:rPr>
          <w:szCs w:val="16"/>
          <w:lang w:val="fr-CA"/>
        </w:rPr>
        <w:t xml:space="preserve">lors de la vente </w:t>
      </w:r>
      <w:r>
        <w:rPr>
          <w:szCs w:val="16"/>
          <w:lang w:val="fr-CA"/>
        </w:rPr>
        <w:t xml:space="preserve">d’une société </w:t>
      </w:r>
      <w:r w:rsidRPr="00E80C1E">
        <w:rPr>
          <w:szCs w:val="16"/>
          <w:lang w:val="fr-CA"/>
        </w:rPr>
        <w:t xml:space="preserve">et/ou </w:t>
      </w:r>
      <w:r>
        <w:rPr>
          <w:szCs w:val="16"/>
          <w:lang w:val="fr-CA"/>
        </w:rPr>
        <w:t xml:space="preserve">que les questions qui les préoccupent </w:t>
      </w:r>
      <w:r w:rsidRPr="00E80C1E">
        <w:rPr>
          <w:szCs w:val="16"/>
          <w:lang w:val="fr-CA"/>
        </w:rPr>
        <w:t>(</w:t>
      </w:r>
      <w:r>
        <w:rPr>
          <w:szCs w:val="16"/>
          <w:lang w:val="fr-CA"/>
        </w:rPr>
        <w:t>p. ex. les dispositions d’entiercement</w:t>
      </w:r>
      <w:r w:rsidRPr="00E80C1E">
        <w:rPr>
          <w:szCs w:val="16"/>
          <w:lang w:val="fr-CA"/>
        </w:rPr>
        <w:t xml:space="preserve">) </w:t>
      </w:r>
      <w:r>
        <w:rPr>
          <w:szCs w:val="16"/>
          <w:lang w:val="fr-CA"/>
        </w:rPr>
        <w:t>n’ont pas nécessairement d’importance pour la direction</w:t>
      </w:r>
      <w:r w:rsidRPr="00E80C1E">
        <w:rPr>
          <w:szCs w:val="16"/>
          <w:lang w:val="fr-CA"/>
        </w:rPr>
        <w:t xml:space="preserve">; </w:t>
      </w:r>
      <w:r>
        <w:rPr>
          <w:szCs w:val="16"/>
          <w:lang w:val="fr-CA"/>
        </w:rPr>
        <w:t>en recourant aux services d’un conseiller juridique distinct, ils s’assurent</w:t>
      </w:r>
      <w:r w:rsidR="00B60284">
        <w:rPr>
          <w:szCs w:val="16"/>
          <w:lang w:val="fr-CA"/>
        </w:rPr>
        <w:t xml:space="preserve"> donc</w:t>
      </w:r>
      <w:r>
        <w:rPr>
          <w:szCs w:val="16"/>
          <w:lang w:val="fr-CA"/>
        </w:rPr>
        <w:t xml:space="preserve"> que leurs intérêts sont protégés à un moment crucial</w:t>
      </w:r>
      <w:r w:rsidRPr="00E80C1E">
        <w:rPr>
          <w:szCs w:val="16"/>
          <w:lang w:val="fr-CA"/>
        </w:rPr>
        <w:t>.</w:t>
      </w:r>
    </w:p>
  </w:footnote>
  <w:footnote w:id="61">
    <w:p w14:paraId="73B48A1C" w14:textId="2B520EFD" w:rsidR="00437FEB" w:rsidRPr="00E80C1E" w:rsidRDefault="00437FEB" w:rsidP="00437FEB">
      <w:pPr>
        <w:pStyle w:val="FootnoteText"/>
        <w:rPr>
          <w:lang w:val="fr-CA"/>
        </w:rPr>
      </w:pPr>
      <w:r w:rsidRPr="00986BEB">
        <w:rPr>
          <w:rStyle w:val="FootnoteReference"/>
          <w:lang w:val="fr-CA"/>
        </w:rPr>
        <w:footnoteRef/>
      </w:r>
      <w:r w:rsidRPr="00E80C1E">
        <w:rPr>
          <w:szCs w:val="16"/>
          <w:lang w:val="fr-CA"/>
        </w:rPr>
        <w:t xml:space="preserve"> </w:t>
      </w:r>
      <w:r>
        <w:rPr>
          <w:szCs w:val="16"/>
          <w:lang w:val="fr-CA"/>
        </w:rPr>
        <w:t xml:space="preserve">Cette disposition, ajoutée dans la foulée de la décision de la </w:t>
      </w:r>
      <w:r w:rsidRPr="00E80C1E">
        <w:rPr>
          <w:szCs w:val="16"/>
          <w:lang w:val="fr-CA"/>
        </w:rPr>
        <w:t>Chancery Court</w:t>
      </w:r>
      <w:r>
        <w:rPr>
          <w:szCs w:val="16"/>
          <w:lang w:val="fr-CA"/>
        </w:rPr>
        <w:t xml:space="preserve"> du </w:t>
      </w:r>
      <w:r w:rsidRPr="00E80C1E">
        <w:rPr>
          <w:szCs w:val="16"/>
          <w:lang w:val="fr-CA"/>
        </w:rPr>
        <w:t xml:space="preserve">Delaware </w:t>
      </w:r>
      <w:r>
        <w:rPr>
          <w:szCs w:val="16"/>
          <w:lang w:val="fr-CA"/>
        </w:rPr>
        <w:t xml:space="preserve">dans l’affaire </w:t>
      </w:r>
      <w:r w:rsidRPr="00E80C1E">
        <w:rPr>
          <w:i/>
          <w:szCs w:val="16"/>
          <w:lang w:val="fr-CA"/>
        </w:rPr>
        <w:t xml:space="preserve">Levy, et al. v. HLI Operating Company, Inc., et al., </w:t>
      </w:r>
      <w:r w:rsidRPr="00986BEB">
        <w:rPr>
          <w:i/>
          <w:szCs w:val="16"/>
          <w:lang w:val="fr-CA"/>
        </w:rPr>
        <w:t>2007</w:t>
      </w:r>
      <w:r w:rsidRPr="00E80C1E">
        <w:rPr>
          <w:i/>
          <w:szCs w:val="16"/>
          <w:lang w:val="fr-CA"/>
        </w:rPr>
        <w:t xml:space="preserve"> WL </w:t>
      </w:r>
      <w:r w:rsidRPr="00986BEB">
        <w:rPr>
          <w:i/>
          <w:szCs w:val="16"/>
          <w:lang w:val="fr-CA"/>
        </w:rPr>
        <w:t>1452934</w:t>
      </w:r>
      <w:r w:rsidRPr="00E80C1E">
        <w:rPr>
          <w:i/>
          <w:szCs w:val="16"/>
          <w:lang w:val="fr-CA"/>
        </w:rPr>
        <w:t xml:space="preserve"> (Del.Ch.)</w:t>
      </w:r>
      <w:r w:rsidRPr="00E80C1E">
        <w:rPr>
          <w:szCs w:val="16"/>
          <w:lang w:val="fr-CA"/>
        </w:rPr>
        <w:t xml:space="preserve">, </w:t>
      </w:r>
      <w:r>
        <w:rPr>
          <w:szCs w:val="16"/>
          <w:lang w:val="fr-CA"/>
        </w:rPr>
        <w:t xml:space="preserve">vise à renforcer la priorité </w:t>
      </w:r>
      <w:r w:rsidR="002844CB">
        <w:rPr>
          <w:szCs w:val="16"/>
          <w:lang w:val="fr-CA"/>
        </w:rPr>
        <w:t>de l’obligation d</w:t>
      </w:r>
      <w:r>
        <w:rPr>
          <w:szCs w:val="16"/>
          <w:lang w:val="fr-CA"/>
        </w:rPr>
        <w:t xml:space="preserve">’indemnisation </w:t>
      </w:r>
      <w:r w:rsidR="002844CB">
        <w:rPr>
          <w:szCs w:val="16"/>
          <w:lang w:val="fr-CA"/>
        </w:rPr>
        <w:t>de</w:t>
      </w:r>
      <w:r>
        <w:rPr>
          <w:szCs w:val="16"/>
          <w:lang w:val="fr-CA"/>
        </w:rPr>
        <w:t xml:space="preserve"> la Société </w:t>
      </w:r>
      <w:r w:rsidR="002844CB">
        <w:rPr>
          <w:szCs w:val="16"/>
          <w:lang w:val="fr-CA"/>
        </w:rPr>
        <w:t xml:space="preserve">envers </w:t>
      </w:r>
      <w:r>
        <w:rPr>
          <w:szCs w:val="16"/>
          <w:lang w:val="fr-CA"/>
        </w:rPr>
        <w:t xml:space="preserve">un administrateur investisseur et </w:t>
      </w:r>
      <w:r w:rsidR="002844CB">
        <w:rPr>
          <w:szCs w:val="16"/>
          <w:lang w:val="fr-CA"/>
        </w:rPr>
        <w:t xml:space="preserve">à </w:t>
      </w:r>
      <w:r>
        <w:rPr>
          <w:szCs w:val="16"/>
          <w:lang w:val="fr-CA"/>
        </w:rPr>
        <w:t xml:space="preserve">assurer </w:t>
      </w:r>
      <w:r w:rsidR="002844CB">
        <w:rPr>
          <w:szCs w:val="16"/>
          <w:lang w:val="fr-CA"/>
        </w:rPr>
        <w:t xml:space="preserve">l’existence du </w:t>
      </w:r>
      <w:r>
        <w:rPr>
          <w:szCs w:val="16"/>
          <w:lang w:val="fr-CA"/>
        </w:rPr>
        <w:t xml:space="preserve">lien contractuel direct entre l’entité investisseuse elle-même et la Société relativement à cette priorité </w:t>
      </w:r>
      <w:r w:rsidRPr="00E80C1E">
        <w:rPr>
          <w:szCs w:val="16"/>
          <w:lang w:val="fr-CA"/>
        </w:rPr>
        <w:t>(</w:t>
      </w:r>
      <w:r w:rsidR="0033655C">
        <w:rPr>
          <w:szCs w:val="16"/>
          <w:lang w:val="fr-CA"/>
        </w:rPr>
        <w:t xml:space="preserve">par opposition à </w:t>
      </w:r>
      <w:r>
        <w:rPr>
          <w:szCs w:val="16"/>
          <w:lang w:val="fr-CA"/>
        </w:rPr>
        <w:t xml:space="preserve">une convention d’indemnisation entre </w:t>
      </w:r>
      <w:r w:rsidRPr="00E80C1E">
        <w:rPr>
          <w:szCs w:val="16"/>
          <w:lang w:val="fr-CA"/>
        </w:rPr>
        <w:t xml:space="preserve">la Société </w:t>
      </w:r>
      <w:r>
        <w:rPr>
          <w:szCs w:val="16"/>
          <w:lang w:val="fr-CA"/>
        </w:rPr>
        <w:t>et les administrateurs eux-mêmes sur une base individuelle</w:t>
      </w:r>
      <w:r w:rsidRPr="00E80C1E">
        <w:rPr>
          <w:szCs w:val="16"/>
          <w:lang w:val="fr-CA"/>
        </w:rPr>
        <w:t>).</w:t>
      </w:r>
    </w:p>
  </w:footnote>
  <w:footnote w:id="62">
    <w:p w14:paraId="2FACED9D" w14:textId="77777777" w:rsidR="0033655C" w:rsidRPr="00E80C1E" w:rsidRDefault="0033655C" w:rsidP="0033655C">
      <w:pPr>
        <w:pStyle w:val="FootnoteText"/>
        <w:rPr>
          <w:lang w:val="fr-CA"/>
        </w:rPr>
      </w:pPr>
      <w:r w:rsidRPr="00986BEB">
        <w:rPr>
          <w:rStyle w:val="FootnoteReference"/>
          <w:lang w:val="fr-CA"/>
        </w:rPr>
        <w:footnoteRef/>
      </w:r>
      <w:r w:rsidRPr="00E80C1E">
        <w:rPr>
          <w:lang w:val="fr-CA"/>
        </w:rPr>
        <w:t xml:space="preserve"> </w:t>
      </w:r>
      <w:r>
        <w:rPr>
          <w:lang w:val="fr-CA"/>
        </w:rPr>
        <w:t>Cette disposition peut être élargie à tous les investisseurs si leur groupe est composé entièrement d’investisseurs professionnels</w:t>
      </w:r>
      <w:r w:rsidRPr="00E80C1E">
        <w:rPr>
          <w:lang w:val="fr-CA"/>
        </w:rPr>
        <w:t>.</w:t>
      </w:r>
    </w:p>
  </w:footnote>
  <w:footnote w:id="63">
    <w:p w14:paraId="212AE8D6" w14:textId="6C420537" w:rsidR="008374D8" w:rsidRPr="00E80C1E" w:rsidRDefault="008374D8" w:rsidP="008374D8">
      <w:pPr>
        <w:pStyle w:val="FootnoteText"/>
        <w:rPr>
          <w:lang w:val="fr-CA"/>
        </w:rPr>
      </w:pPr>
      <w:r w:rsidRPr="00986BEB">
        <w:rPr>
          <w:rStyle w:val="FootnoteReference"/>
          <w:lang w:val="fr-CA"/>
        </w:rPr>
        <w:footnoteRef/>
      </w:r>
      <w:r w:rsidRPr="00E80C1E">
        <w:rPr>
          <w:lang w:val="fr-CA"/>
        </w:rPr>
        <w:tab/>
      </w:r>
      <w:r>
        <w:rPr>
          <w:lang w:val="fr-CA"/>
        </w:rPr>
        <w:t xml:space="preserve">Puisque la conformité à la LCAPE </w:t>
      </w:r>
      <w:r w:rsidR="004B39B4">
        <w:rPr>
          <w:lang w:val="fr-CA"/>
        </w:rPr>
        <w:t xml:space="preserve">peut </w:t>
      </w:r>
      <w:r>
        <w:rPr>
          <w:lang w:val="fr-CA"/>
        </w:rPr>
        <w:t>nécessite</w:t>
      </w:r>
      <w:r w:rsidR="004B39B4">
        <w:rPr>
          <w:lang w:val="fr-CA"/>
        </w:rPr>
        <w:t>r</w:t>
      </w:r>
      <w:r>
        <w:rPr>
          <w:lang w:val="fr-CA"/>
        </w:rPr>
        <w:t xml:space="preserve"> d’importants investissements en temps et en argent, on doit se demander à quel moment et de quelle manière il est préférable d’</w:t>
      </w:r>
      <w:r w:rsidR="004B39B4">
        <w:rPr>
          <w:lang w:val="fr-CA"/>
        </w:rPr>
        <w:t>imposer</w:t>
      </w:r>
      <w:r>
        <w:rPr>
          <w:lang w:val="fr-CA"/>
        </w:rPr>
        <w:t xml:space="preserve"> cette obligation </w:t>
      </w:r>
      <w:r w:rsidR="004B39B4">
        <w:rPr>
          <w:lang w:val="fr-CA"/>
        </w:rPr>
        <w:t xml:space="preserve">à </w:t>
      </w:r>
      <w:r>
        <w:rPr>
          <w:lang w:val="fr-CA"/>
        </w:rPr>
        <w:t>une société en phase de démarrage</w:t>
      </w:r>
      <w:r w:rsidRPr="00E80C1E">
        <w:rPr>
          <w:lang w:val="fr-CA"/>
        </w:rPr>
        <w:t xml:space="preserve">. </w:t>
      </w:r>
      <w:r>
        <w:rPr>
          <w:lang w:val="fr-CA"/>
        </w:rPr>
        <w:t>Si on inclut cette disposition à un stade précoce</w:t>
      </w:r>
      <w:r w:rsidRPr="00E80C1E">
        <w:rPr>
          <w:lang w:val="fr-CA"/>
        </w:rPr>
        <w:t xml:space="preserve">, </w:t>
      </w:r>
      <w:r>
        <w:rPr>
          <w:lang w:val="fr-CA"/>
        </w:rPr>
        <w:t>il peut être judicieux de faire des recommandations pratiques précises à la Société au sujet des mesures qu’elle devrait prendre pour se conformer à la LCAPE et maintenir cette conformité</w:t>
      </w:r>
      <w:r w:rsidRPr="00E80C1E">
        <w:rPr>
          <w:lang w:val="fr-CA"/>
        </w:rPr>
        <w:t>.</w:t>
      </w:r>
    </w:p>
  </w:footnote>
  <w:footnote w:id="64">
    <w:p w14:paraId="6104A855" w14:textId="1D17F1E9" w:rsidR="00FF6DE8" w:rsidRPr="00E80C1E" w:rsidRDefault="00FF6DE8" w:rsidP="00FF6DE8">
      <w:pPr>
        <w:pStyle w:val="FootnoteText"/>
        <w:rPr>
          <w:lang w:val="fr-CA"/>
        </w:rPr>
      </w:pPr>
      <w:r w:rsidRPr="00986BEB">
        <w:rPr>
          <w:rStyle w:val="FootnoteReference"/>
          <w:lang w:val="fr-CA"/>
        </w:rPr>
        <w:footnoteRef/>
      </w:r>
      <w:r w:rsidRPr="00E80C1E">
        <w:rPr>
          <w:lang w:val="fr-CA"/>
        </w:rPr>
        <w:tab/>
      </w:r>
      <w:r>
        <w:rPr>
          <w:lang w:val="fr-CA"/>
        </w:rPr>
        <w:t>Ces exigences seraient difficiles, voire impossibles, à respecter pour bon nombre de sociétés en phase de démarrage</w:t>
      </w:r>
      <w:r w:rsidRPr="00E80C1E">
        <w:rPr>
          <w:noProof/>
          <w:lang w:val="fr-CA"/>
        </w:rPr>
        <w:t xml:space="preserve">, </w:t>
      </w:r>
      <w:r>
        <w:rPr>
          <w:noProof/>
          <w:lang w:val="fr-CA"/>
        </w:rPr>
        <w:t xml:space="preserve">surtout dans le délai de cent quatre-vingts </w:t>
      </w:r>
      <w:r w:rsidRPr="00E80C1E">
        <w:rPr>
          <w:noProof/>
          <w:lang w:val="fr-CA"/>
        </w:rPr>
        <w:t>(</w:t>
      </w:r>
      <w:r w:rsidRPr="00986BEB">
        <w:rPr>
          <w:noProof/>
          <w:lang w:val="fr-CA"/>
        </w:rPr>
        <w:t>180</w:t>
      </w:r>
      <w:r w:rsidRPr="00E80C1E">
        <w:rPr>
          <w:noProof/>
          <w:lang w:val="fr-CA"/>
        </w:rPr>
        <w:t>)</w:t>
      </w:r>
      <w:r>
        <w:rPr>
          <w:noProof/>
          <w:lang w:val="fr-CA"/>
        </w:rPr>
        <w:t> jours</w:t>
      </w:r>
      <w:r w:rsidRPr="00E80C1E">
        <w:rPr>
          <w:noProof/>
          <w:lang w:val="fr-CA"/>
        </w:rPr>
        <w:t xml:space="preserve">. </w:t>
      </w:r>
      <w:r>
        <w:rPr>
          <w:noProof/>
          <w:lang w:val="fr-CA"/>
        </w:rPr>
        <w:t xml:space="preserve">Les « normes du secteur » </w:t>
      </w:r>
      <w:r w:rsidR="00254C56">
        <w:rPr>
          <w:noProof/>
          <w:lang w:val="fr-CA"/>
        </w:rPr>
        <w:t>représentent</w:t>
      </w:r>
      <w:r>
        <w:rPr>
          <w:noProof/>
          <w:lang w:val="fr-CA"/>
        </w:rPr>
        <w:t xml:space="preserve"> des exigences </w:t>
      </w:r>
      <w:r w:rsidR="00254C56">
        <w:rPr>
          <w:noProof/>
          <w:lang w:val="fr-CA"/>
        </w:rPr>
        <w:t xml:space="preserve">très strictes qui peuvent être </w:t>
      </w:r>
      <w:r>
        <w:rPr>
          <w:noProof/>
          <w:lang w:val="fr-CA"/>
        </w:rPr>
        <w:t>coûteuses à respecter et beaucoup de sociétés bien établies n’y parviennent pas</w:t>
      </w:r>
      <w:r w:rsidRPr="00E80C1E">
        <w:rPr>
          <w:noProof/>
          <w:lang w:val="fr-CA"/>
        </w:rPr>
        <w:t xml:space="preserve">. </w:t>
      </w:r>
      <w:r>
        <w:rPr>
          <w:noProof/>
          <w:lang w:val="fr-CA"/>
        </w:rPr>
        <w:t>Il n’y a pratiquement aucun fournisseur qui offre une « garantie de prévention des atteintes » et la plupart des sociétés ne disposent pas d’un levier suffisant</w:t>
      </w:r>
      <w:r w:rsidR="002F784E">
        <w:rPr>
          <w:noProof/>
          <w:lang w:val="fr-CA"/>
        </w:rPr>
        <w:t xml:space="preserve"> </w:t>
      </w:r>
      <w:r w:rsidR="001172C9">
        <w:rPr>
          <w:noProof/>
          <w:lang w:val="fr-CA"/>
        </w:rPr>
        <w:t xml:space="preserve">pour </w:t>
      </w:r>
      <w:r w:rsidR="002F784E">
        <w:rPr>
          <w:noProof/>
          <w:lang w:val="fr-CA"/>
        </w:rPr>
        <w:t xml:space="preserve">imposer </w:t>
      </w:r>
      <w:r w:rsidR="001172C9">
        <w:rPr>
          <w:noProof/>
          <w:lang w:val="fr-CA"/>
        </w:rPr>
        <w:t>à</w:t>
      </w:r>
      <w:r>
        <w:rPr>
          <w:noProof/>
          <w:lang w:val="fr-CA"/>
        </w:rPr>
        <w:t xml:space="preserve"> leurs fournisseurs </w:t>
      </w:r>
      <w:r w:rsidRPr="00E80C1E">
        <w:rPr>
          <w:noProof/>
          <w:lang w:val="fr-CA"/>
        </w:rPr>
        <w:t>(</w:t>
      </w:r>
      <w:r>
        <w:rPr>
          <w:noProof/>
          <w:lang w:val="fr-CA"/>
        </w:rPr>
        <w:t xml:space="preserve">p. ex. </w:t>
      </w:r>
      <w:r w:rsidRPr="00E80C1E">
        <w:rPr>
          <w:noProof/>
          <w:lang w:val="fr-CA"/>
        </w:rPr>
        <w:t>Amazon, Google, Microsoft)</w:t>
      </w:r>
      <w:r>
        <w:rPr>
          <w:noProof/>
          <w:lang w:val="fr-CA"/>
        </w:rPr>
        <w:t xml:space="preserve"> </w:t>
      </w:r>
      <w:r w:rsidR="001172C9">
        <w:rPr>
          <w:noProof/>
          <w:lang w:val="fr-CA"/>
        </w:rPr>
        <w:t>des obligations de notification en cas d’i</w:t>
      </w:r>
      <w:r>
        <w:rPr>
          <w:noProof/>
          <w:lang w:val="fr-CA"/>
        </w:rPr>
        <w:t>ncidents</w:t>
      </w:r>
      <w:r w:rsidRPr="00E80C1E">
        <w:rPr>
          <w:noProof/>
          <w:lang w:val="fr-CA"/>
        </w:rPr>
        <w:t xml:space="preserve">. </w:t>
      </w:r>
      <w:r>
        <w:rPr>
          <w:noProof/>
          <w:lang w:val="fr-CA"/>
        </w:rPr>
        <w:t xml:space="preserve">De plus, dans la mesure où on pourrait raisonnablement s’attendre à ce qu’une société réponde à ces exigences, celles-ci devraient être couvertes par les obligations générales énoncées dans la phrase précédente, qui s’appliquent aussi bien aux données traitées par </w:t>
      </w:r>
      <w:r w:rsidRPr="00E80C1E">
        <w:rPr>
          <w:noProof/>
          <w:lang w:val="fr-CA"/>
        </w:rPr>
        <w:t xml:space="preserve">la Société </w:t>
      </w:r>
      <w:r>
        <w:rPr>
          <w:noProof/>
          <w:lang w:val="fr-CA"/>
        </w:rPr>
        <w:t xml:space="preserve">qu’aux données traitées </w:t>
      </w:r>
      <w:r w:rsidR="008E5739">
        <w:rPr>
          <w:noProof/>
          <w:lang w:val="fr-CA"/>
        </w:rPr>
        <w:t xml:space="preserve">par des fournisseurs </w:t>
      </w:r>
      <w:r>
        <w:rPr>
          <w:noProof/>
          <w:lang w:val="fr-CA"/>
        </w:rPr>
        <w:t>pour son compte</w:t>
      </w:r>
      <w:r w:rsidRPr="00E80C1E">
        <w:rPr>
          <w:noProof/>
          <w:lang w:val="fr-CA"/>
        </w:rPr>
        <w:t xml:space="preserve">. </w:t>
      </w:r>
      <w:r>
        <w:rPr>
          <w:noProof/>
          <w:lang w:val="fr-CA"/>
        </w:rPr>
        <w:t xml:space="preserve">Par conséquent, cette phrase ne devrait être incluse que s’il n’y a pas d’autre moyen de répondre à des besoins ou à des préoccupations spécifiques. </w:t>
      </w:r>
    </w:p>
  </w:footnote>
  <w:footnote w:id="65">
    <w:p w14:paraId="642A778C" w14:textId="2466CE45" w:rsidR="00A665C8" w:rsidRPr="00E80C1E" w:rsidRDefault="00A665C8" w:rsidP="00A665C8">
      <w:pPr>
        <w:pStyle w:val="FootnoteText"/>
        <w:rPr>
          <w:lang w:val="fr-CA"/>
        </w:rPr>
      </w:pPr>
      <w:r w:rsidRPr="00986BEB">
        <w:rPr>
          <w:rStyle w:val="FootnoteReference"/>
          <w:lang w:val="fr-CA"/>
        </w:rPr>
        <w:footnoteRef/>
      </w:r>
      <w:r w:rsidRPr="00E80C1E">
        <w:rPr>
          <w:lang w:val="fr-CA"/>
        </w:rPr>
        <w:tab/>
      </w:r>
      <w:r>
        <w:rPr>
          <w:lang w:val="fr-CA"/>
        </w:rPr>
        <w:t xml:space="preserve">En raison de modifications récentes </w:t>
      </w:r>
      <w:r w:rsidR="001172C9">
        <w:rPr>
          <w:lang w:val="fr-CA"/>
        </w:rPr>
        <w:t>apportées à</w:t>
      </w:r>
      <w:r>
        <w:rPr>
          <w:lang w:val="fr-CA"/>
        </w:rPr>
        <w:t xml:space="preserve"> la législation fiscale américaine, les fonds de capital de risque devront informer un commanditaire </w:t>
      </w:r>
      <w:r w:rsidR="00A258D1">
        <w:rPr>
          <w:lang w:val="fr-CA"/>
        </w:rPr>
        <w:t>cédant</w:t>
      </w:r>
      <w:r>
        <w:rPr>
          <w:lang w:val="fr-CA"/>
        </w:rPr>
        <w:t xml:space="preserve"> de la mesure dans laquelle une vente d’actifs du fonds de capital de risque entraînerait des obligations fiscales américaines </w:t>
      </w:r>
      <w:r w:rsidRPr="00E80C1E">
        <w:rPr>
          <w:lang w:val="fr-CA"/>
        </w:rPr>
        <w:t>(</w:t>
      </w:r>
      <w:r>
        <w:rPr>
          <w:lang w:val="fr-CA"/>
        </w:rPr>
        <w:t>et, dans certains cas, le fonds de capital de risque sera soumis à une obligation de retenue d’impôt à cet égard</w:t>
      </w:r>
      <w:r w:rsidRPr="00E80C1E">
        <w:rPr>
          <w:lang w:val="fr-CA"/>
        </w:rPr>
        <w:t xml:space="preserve">). </w:t>
      </w:r>
      <w:r>
        <w:rPr>
          <w:lang w:val="fr-CA"/>
        </w:rPr>
        <w:t>Pour respecter ces obligations, le fonds de capital de risque devra déterminer si sa participation dans chaque société de portefeuille constitue une participation immobilière américaine</w:t>
      </w:r>
      <w:r w:rsidRPr="00E80C1E">
        <w:rPr>
          <w:lang w:val="fr-CA"/>
        </w:rPr>
        <w:t>.</w:t>
      </w:r>
    </w:p>
  </w:footnote>
  <w:footnote w:id="66">
    <w:p w14:paraId="373ECE85" w14:textId="1ABC5F5D"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365602">
        <w:rPr>
          <w:szCs w:val="16"/>
          <w:lang w:val="fr-CA"/>
        </w:rPr>
        <w:t>À des fins de comparaison, voir les paragraphes </w:t>
      </w:r>
      <w:r w:rsidRPr="00986BEB">
        <w:rPr>
          <w:szCs w:val="16"/>
          <w:lang w:val="fr-CA"/>
        </w:rPr>
        <w:fldChar w:fldCharType="begin"/>
      </w:r>
      <w:r w:rsidRPr="00986BEB">
        <w:rPr>
          <w:szCs w:val="16"/>
          <w:lang w:val="fr-CA"/>
        </w:rPr>
        <w:instrText xml:space="preserve">  REF _Ref448380624 \w \h \* MERGEFORMAT </w:instrText>
      </w:r>
      <w:r w:rsidRPr="00986BEB">
        <w:rPr>
          <w:szCs w:val="16"/>
          <w:lang w:val="fr-CA"/>
        </w:rPr>
      </w:r>
      <w:r w:rsidRPr="00986BEB">
        <w:rPr>
          <w:szCs w:val="16"/>
          <w:lang w:val="fr-CA"/>
        </w:rPr>
        <w:fldChar w:fldCharType="separate"/>
      </w:r>
      <w:r w:rsidR="00AE1D96" w:rsidRPr="00AE1D96">
        <w:rPr>
          <w:color w:val="000000"/>
          <w:szCs w:val="16"/>
          <w:lang w:val="fr-CA"/>
        </w:rPr>
        <w:t>3.4</w:t>
      </w:r>
      <w:r w:rsidRPr="00986BEB">
        <w:rPr>
          <w:szCs w:val="16"/>
          <w:lang w:val="fr-CA"/>
        </w:rPr>
        <w:fldChar w:fldCharType="end"/>
      </w:r>
      <w:r w:rsidRPr="00E80C1E">
        <w:rPr>
          <w:szCs w:val="16"/>
          <w:lang w:val="fr-CA"/>
        </w:rPr>
        <w:t xml:space="preserve"> </w:t>
      </w:r>
      <w:r w:rsidR="00365602">
        <w:rPr>
          <w:szCs w:val="16"/>
          <w:lang w:val="fr-CA"/>
        </w:rPr>
        <w:t xml:space="preserve">et </w:t>
      </w:r>
      <w:r w:rsidRPr="00986BEB">
        <w:rPr>
          <w:szCs w:val="16"/>
          <w:lang w:val="fr-CA"/>
        </w:rPr>
        <w:fldChar w:fldCharType="begin"/>
      </w:r>
      <w:r w:rsidRPr="00986BEB">
        <w:rPr>
          <w:szCs w:val="16"/>
          <w:lang w:val="fr-CA"/>
        </w:rPr>
        <w:instrText xml:space="preserve">  REF _Ref448380635 \w \h \* MERGEFORMAT </w:instrText>
      </w:r>
      <w:r w:rsidRPr="00986BEB">
        <w:rPr>
          <w:szCs w:val="16"/>
          <w:lang w:val="fr-CA"/>
        </w:rPr>
      </w:r>
      <w:r w:rsidRPr="00986BEB">
        <w:rPr>
          <w:szCs w:val="16"/>
          <w:lang w:val="fr-CA"/>
        </w:rPr>
        <w:fldChar w:fldCharType="separate"/>
      </w:r>
      <w:r w:rsidR="00AE1D96" w:rsidRPr="00AE1D96">
        <w:rPr>
          <w:color w:val="000000"/>
          <w:szCs w:val="16"/>
          <w:lang w:val="fr-CA"/>
        </w:rPr>
        <w:t>4.2</w:t>
      </w:r>
      <w:r w:rsidRPr="00986BEB">
        <w:rPr>
          <w:szCs w:val="16"/>
          <w:lang w:val="fr-CA"/>
        </w:rPr>
        <w:fldChar w:fldCharType="end"/>
      </w:r>
      <w:r w:rsidRPr="00E80C1E">
        <w:rPr>
          <w:szCs w:val="16"/>
          <w:lang w:val="fr-CA"/>
        </w:rPr>
        <w:t>.</w:t>
      </w:r>
    </w:p>
  </w:footnote>
  <w:footnote w:id="67">
    <w:p w14:paraId="33F64EEA" w14:textId="063E62D0" w:rsidR="00BE40AC" w:rsidRPr="00B00D9E" w:rsidRDefault="00BE40AC" w:rsidP="00BE40AC">
      <w:pPr>
        <w:pStyle w:val="FootnoteText"/>
        <w:rPr>
          <w:lang w:val="fr-CA"/>
        </w:rPr>
      </w:pPr>
      <w:r>
        <w:rPr>
          <w:rStyle w:val="FootnoteReference"/>
        </w:rPr>
        <w:footnoteRef/>
      </w:r>
      <w:r w:rsidRPr="00BE40AC">
        <w:rPr>
          <w:lang w:val="fr-CA"/>
        </w:rPr>
        <w:t xml:space="preserve"> Il </w:t>
      </w:r>
      <w:r w:rsidR="00B00D9E">
        <w:rPr>
          <w:lang w:val="fr-CA"/>
        </w:rPr>
        <w:t>y aurait peut-être lieu de faire figurer l’adresse des</w:t>
      </w:r>
      <w:r w:rsidRPr="00BE40AC">
        <w:rPr>
          <w:lang w:val="fr-CA"/>
        </w:rPr>
        <w:t xml:space="preserve"> co</w:t>
      </w:r>
      <w:r>
        <w:rPr>
          <w:lang w:val="fr-CA"/>
        </w:rPr>
        <w:t xml:space="preserve">nseillers juridiques </w:t>
      </w:r>
      <w:r w:rsidR="00B00D9E">
        <w:rPr>
          <w:lang w:val="fr-CA"/>
        </w:rPr>
        <w:t xml:space="preserve">à qui une </w:t>
      </w:r>
      <w:r>
        <w:rPr>
          <w:lang w:val="fr-CA"/>
        </w:rPr>
        <w:t xml:space="preserve">copie </w:t>
      </w:r>
      <w:r w:rsidR="00B00D9E">
        <w:rPr>
          <w:lang w:val="fr-CA"/>
        </w:rPr>
        <w:t>doit être envoyée dans les annexes des investisseurs, étant donné que bien souvent il y en a plusieurs.</w:t>
      </w:r>
    </w:p>
  </w:footnote>
  <w:footnote w:id="68">
    <w:p w14:paraId="0CFE9815" w14:textId="6AA98713" w:rsidR="005C1B18" w:rsidRPr="00E80C1E" w:rsidRDefault="005C1B18" w:rsidP="005C1B18">
      <w:pPr>
        <w:pStyle w:val="FootnoteText"/>
        <w:rPr>
          <w:lang w:val="fr-CA"/>
        </w:rPr>
      </w:pPr>
      <w:r w:rsidRPr="00986BEB">
        <w:rPr>
          <w:rStyle w:val="FootnoteReference"/>
          <w:lang w:val="fr-CA"/>
        </w:rPr>
        <w:footnoteRef/>
      </w:r>
      <w:r w:rsidRPr="00E80C1E">
        <w:rPr>
          <w:szCs w:val="16"/>
          <w:lang w:val="fr-CA"/>
        </w:rPr>
        <w:t xml:space="preserve"> </w:t>
      </w:r>
      <w:r>
        <w:rPr>
          <w:szCs w:val="16"/>
          <w:lang w:val="fr-CA"/>
        </w:rPr>
        <w:t>Il convient d’examiner attentivement la composition du groupe d’actionnaires avant de fixer les seuils de consentement pour les modifications et les renonciations</w:t>
      </w:r>
      <w:r w:rsidRPr="00E80C1E">
        <w:rPr>
          <w:szCs w:val="16"/>
          <w:lang w:val="fr-CA"/>
        </w:rPr>
        <w:t xml:space="preserve">. </w:t>
      </w:r>
      <w:r>
        <w:rPr>
          <w:szCs w:val="16"/>
          <w:lang w:val="fr-CA"/>
        </w:rPr>
        <w:t xml:space="preserve">En règle générale, les droits </w:t>
      </w:r>
      <w:r w:rsidR="006C3355">
        <w:rPr>
          <w:szCs w:val="16"/>
          <w:lang w:val="fr-CA"/>
        </w:rPr>
        <w:t>appartenant</w:t>
      </w:r>
      <w:r>
        <w:rPr>
          <w:szCs w:val="16"/>
          <w:lang w:val="fr-CA"/>
        </w:rPr>
        <w:t xml:space="preserve"> à chaque groupe d’investisseurs devraient pouvoir faire l’objet d’une renonciation distincte par le groupe concerné</w:t>
      </w:r>
      <w:r w:rsidRPr="00E80C1E">
        <w:rPr>
          <w:szCs w:val="16"/>
          <w:lang w:val="fr-CA"/>
        </w:rPr>
        <w:t>.</w:t>
      </w:r>
    </w:p>
  </w:footnote>
  <w:footnote w:id="69">
    <w:p w14:paraId="2CD1D080" w14:textId="32490237" w:rsidR="004B1865" w:rsidRPr="00E80C1E" w:rsidRDefault="004B1865" w:rsidP="004B1865">
      <w:pPr>
        <w:pStyle w:val="FootnoteText"/>
        <w:rPr>
          <w:lang w:val="fr-CA"/>
        </w:rPr>
      </w:pPr>
      <w:r w:rsidRPr="00986BEB">
        <w:rPr>
          <w:rStyle w:val="FootnoteReference"/>
          <w:lang w:val="fr-CA"/>
        </w:rPr>
        <w:footnoteRef/>
      </w:r>
      <w:r w:rsidRPr="00E80C1E">
        <w:rPr>
          <w:lang w:val="fr-CA"/>
        </w:rPr>
        <w:t xml:space="preserve"> </w:t>
      </w:r>
      <w:r>
        <w:rPr>
          <w:lang w:val="fr-CA"/>
        </w:rPr>
        <w:t>Notez que cette stipulation entre parenthèse</w:t>
      </w:r>
      <w:r w:rsidR="00EC6590">
        <w:rPr>
          <w:lang w:val="fr-CA"/>
        </w:rPr>
        <w:t>s</w:t>
      </w:r>
      <w:r>
        <w:rPr>
          <w:lang w:val="fr-CA"/>
        </w:rPr>
        <w:t xml:space="preserve"> permet à tous les investisseurs disposant de droits proportionnels de voter en faveur d’une renonciation à ces droits, y compris les investisseurs qui participent à un financement à l’égard duquel ces droits font l’objet d’une renonciation, ce qui donne une marge de manœuvre pour la structuration des </w:t>
      </w:r>
      <w:r w:rsidR="00372E4F" w:rsidRPr="003A0374">
        <w:rPr>
          <w:lang w:val="fr-CA"/>
        </w:rPr>
        <w:t xml:space="preserve">rondes de financement </w:t>
      </w:r>
      <w:r w:rsidRPr="003A0374">
        <w:rPr>
          <w:lang w:val="fr-CA"/>
        </w:rPr>
        <w:t xml:space="preserve">futures, mais pourrait faire en sorte que certains investisseurs perdent leurs droits proportionnels dans une </w:t>
      </w:r>
      <w:r w:rsidR="00372E4F" w:rsidRPr="003A0374">
        <w:rPr>
          <w:lang w:val="fr-CA"/>
        </w:rPr>
        <w:t>ronde</w:t>
      </w:r>
      <w:r w:rsidR="00890498" w:rsidRPr="003A0374">
        <w:rPr>
          <w:lang w:val="fr-CA"/>
        </w:rPr>
        <w:t xml:space="preserve"> à laquelle</w:t>
      </w:r>
      <w:r w:rsidRPr="003A0374">
        <w:rPr>
          <w:lang w:val="fr-CA"/>
        </w:rPr>
        <w:t xml:space="preserve"> d’</w:t>
      </w:r>
      <w:r>
        <w:rPr>
          <w:lang w:val="fr-CA"/>
        </w:rPr>
        <w:t>autres investisseurs participent</w:t>
      </w:r>
      <w:r w:rsidRPr="00E80C1E">
        <w:rPr>
          <w:lang w:val="fr-CA"/>
        </w:rPr>
        <w:t>.</w:t>
      </w:r>
    </w:p>
  </w:footnote>
  <w:footnote w:id="70">
    <w:p w14:paraId="73FB228E" w14:textId="59DA202F"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204A0D">
        <w:rPr>
          <w:szCs w:val="16"/>
          <w:lang w:val="fr-CA"/>
        </w:rPr>
        <w:t>Voir également le paragraphe </w:t>
      </w:r>
      <w:r w:rsidRPr="00986BEB">
        <w:rPr>
          <w:szCs w:val="16"/>
          <w:lang w:val="fr-CA"/>
        </w:rPr>
        <w:fldChar w:fldCharType="begin"/>
      </w:r>
      <w:r w:rsidRPr="00986BEB">
        <w:rPr>
          <w:szCs w:val="16"/>
          <w:lang w:val="fr-CA"/>
        </w:rPr>
        <w:instrText xml:space="preserve">  REF _Ref448380659 \w \h \* MERGEFORMAT </w:instrText>
      </w:r>
      <w:r w:rsidRPr="00986BEB">
        <w:rPr>
          <w:szCs w:val="16"/>
          <w:lang w:val="fr-CA"/>
        </w:rPr>
      </w:r>
      <w:r w:rsidRPr="00986BEB">
        <w:rPr>
          <w:szCs w:val="16"/>
          <w:lang w:val="fr-CA"/>
        </w:rPr>
        <w:fldChar w:fldCharType="separate"/>
      </w:r>
      <w:r w:rsidR="00AE1D96" w:rsidRPr="00AE1D96">
        <w:rPr>
          <w:color w:val="000000"/>
          <w:szCs w:val="16"/>
          <w:lang w:val="fr-CA"/>
        </w:rPr>
        <w:t>6.1</w:t>
      </w:r>
      <w:r w:rsidRPr="00986BEB">
        <w:rPr>
          <w:szCs w:val="16"/>
          <w:lang w:val="fr-CA"/>
        </w:rPr>
        <w:fldChar w:fldCharType="end"/>
      </w:r>
      <w:r w:rsidRPr="00E80C1E">
        <w:rPr>
          <w:szCs w:val="16"/>
          <w:lang w:val="fr-CA"/>
        </w:rPr>
        <w:t xml:space="preserve"> </w:t>
      </w:r>
      <w:r w:rsidR="00204A0D">
        <w:rPr>
          <w:szCs w:val="16"/>
          <w:lang w:val="fr-CA"/>
        </w:rPr>
        <w:t xml:space="preserve">pour </w:t>
      </w:r>
      <w:r w:rsidR="009B3E06">
        <w:rPr>
          <w:szCs w:val="16"/>
          <w:lang w:val="fr-CA"/>
        </w:rPr>
        <w:t xml:space="preserve">connaître </w:t>
      </w:r>
      <w:r w:rsidR="00204A0D">
        <w:rPr>
          <w:szCs w:val="16"/>
          <w:lang w:val="fr-CA"/>
        </w:rPr>
        <w:t xml:space="preserve">les règles de regroupement spéciales applicables aux cessionnaires de </w:t>
      </w:r>
      <w:r w:rsidR="00280F12" w:rsidRPr="00E80C1E">
        <w:rPr>
          <w:szCs w:val="16"/>
          <w:lang w:val="fr-CA"/>
        </w:rPr>
        <w:t>Titres à inscrire</w:t>
      </w:r>
      <w:r w:rsidRPr="00E80C1E">
        <w:rPr>
          <w:szCs w:val="16"/>
          <w:lang w:val="fr-CA"/>
        </w:rPr>
        <w:t>.</w:t>
      </w:r>
    </w:p>
  </w:footnote>
  <w:footnote w:id="71">
    <w:p w14:paraId="04698FA9" w14:textId="21F6F72D" w:rsidR="00BC1FC7" w:rsidRPr="00E80C1E" w:rsidRDefault="000B08F2">
      <w:pPr>
        <w:pStyle w:val="FootnoteText"/>
        <w:rPr>
          <w:lang w:val="fr-CA"/>
        </w:rPr>
      </w:pPr>
      <w:r w:rsidRPr="00986BEB">
        <w:rPr>
          <w:rStyle w:val="FootnoteReference"/>
          <w:lang w:val="fr-CA"/>
        </w:rPr>
        <w:footnoteRef/>
      </w:r>
      <w:r w:rsidRPr="00E80C1E">
        <w:rPr>
          <w:lang w:val="fr-CA"/>
        </w:rPr>
        <w:t xml:space="preserve"> </w:t>
      </w:r>
      <w:r w:rsidR="00204A0D">
        <w:rPr>
          <w:lang w:val="fr-CA"/>
        </w:rPr>
        <w:t>En l’absence de cette restriction</w:t>
      </w:r>
      <w:r w:rsidRPr="00E80C1E">
        <w:rPr>
          <w:lang w:val="fr-CA"/>
        </w:rPr>
        <w:t xml:space="preserve">, </w:t>
      </w:r>
      <w:r w:rsidR="00204A0D">
        <w:rPr>
          <w:lang w:val="fr-CA"/>
        </w:rPr>
        <w:t>les autres restrictions relatives aux droits d’inscription subséquents sont en réalité inutiles</w:t>
      </w:r>
      <w:r w:rsidRPr="00E80C1E">
        <w:rPr>
          <w:lang w:val="fr-CA"/>
        </w:rPr>
        <w:t>; confirm</w:t>
      </w:r>
      <w:r w:rsidR="00204A0D">
        <w:rPr>
          <w:lang w:val="fr-CA"/>
        </w:rPr>
        <w:t xml:space="preserve">er et </w:t>
      </w:r>
      <w:r w:rsidR="00C7762F">
        <w:rPr>
          <w:lang w:val="fr-CA"/>
        </w:rPr>
        <w:t>adapter au besoin</w:t>
      </w:r>
      <w:r w:rsidRPr="00E80C1E">
        <w:rPr>
          <w:lang w:val="fr-CA"/>
        </w:rPr>
        <w:t>.</w:t>
      </w:r>
    </w:p>
  </w:footnote>
  <w:footnote w:id="72">
    <w:p w14:paraId="09EC8602" w14:textId="77777777" w:rsidR="00697CCA" w:rsidRPr="00E80C1E" w:rsidRDefault="00697CCA" w:rsidP="00697CCA">
      <w:pPr>
        <w:pStyle w:val="FootnoteText"/>
        <w:rPr>
          <w:lang w:val="fr-CA"/>
        </w:rPr>
      </w:pPr>
      <w:r w:rsidRPr="00986BEB">
        <w:rPr>
          <w:rStyle w:val="FootnoteReference"/>
          <w:lang w:val="fr-CA"/>
        </w:rPr>
        <w:footnoteRef/>
      </w:r>
      <w:r w:rsidRPr="00E80C1E">
        <w:rPr>
          <w:lang w:val="fr-CA"/>
        </w:rPr>
        <w:t xml:space="preserve"> </w:t>
      </w:r>
      <w:r>
        <w:rPr>
          <w:lang w:val="fr-CA"/>
        </w:rPr>
        <w:t>Il peut être approprié d’inclure cette précision s’il existe des lettres d’accompagnement ou d’autres ententes couvrant des aspects semblables</w:t>
      </w:r>
      <w:r w:rsidRPr="00E80C1E">
        <w:rPr>
          <w:lang w:val="fr-CA"/>
        </w:rPr>
        <w:t>.</w:t>
      </w:r>
    </w:p>
  </w:footnote>
  <w:footnote w:id="73">
    <w:p w14:paraId="325F7CCF" w14:textId="2D830D41" w:rsidR="00BC1FC7" w:rsidRPr="00E80C1E" w:rsidRDefault="000B08F2">
      <w:pPr>
        <w:pStyle w:val="FootnoteText"/>
        <w:rPr>
          <w:lang w:val="fr-CA"/>
        </w:rPr>
      </w:pPr>
      <w:r w:rsidRPr="00986BEB">
        <w:rPr>
          <w:rStyle w:val="FootnoteReference"/>
          <w:lang w:val="fr-CA"/>
        </w:rPr>
        <w:footnoteRef/>
      </w:r>
      <w:r w:rsidRPr="00E80C1E">
        <w:rPr>
          <w:szCs w:val="16"/>
          <w:lang w:val="fr-CA"/>
        </w:rPr>
        <w:t xml:space="preserve"> </w:t>
      </w:r>
      <w:r w:rsidR="0086447B">
        <w:rPr>
          <w:szCs w:val="16"/>
          <w:lang w:val="fr-CA"/>
        </w:rPr>
        <w:t xml:space="preserve">Si la </w:t>
      </w:r>
      <w:r w:rsidRPr="00E80C1E">
        <w:rPr>
          <w:szCs w:val="16"/>
          <w:lang w:val="fr-CA"/>
        </w:rPr>
        <w:t xml:space="preserve">Convention antérieure </w:t>
      </w:r>
      <w:r w:rsidR="0086447B">
        <w:rPr>
          <w:szCs w:val="16"/>
          <w:lang w:val="fr-CA"/>
        </w:rPr>
        <w:t xml:space="preserve">est résiliée au lieu d’être modifiée et mise à jour, cette stipulation </w:t>
      </w:r>
      <w:r w:rsidR="00A067B8">
        <w:rPr>
          <w:szCs w:val="16"/>
          <w:lang w:val="fr-CA"/>
        </w:rPr>
        <w:t>peut</w:t>
      </w:r>
      <w:r w:rsidR="0086447B">
        <w:rPr>
          <w:szCs w:val="16"/>
          <w:lang w:val="fr-CA"/>
        </w:rPr>
        <w:t xml:space="preserve"> être reformulée comme suit : </w:t>
      </w:r>
      <w:r w:rsidRPr="00E80C1E">
        <w:rPr>
          <w:szCs w:val="16"/>
          <w:lang w:val="fr-CA"/>
        </w:rPr>
        <w:t xml:space="preserve">« la Convention antérieure </w:t>
      </w:r>
      <w:r w:rsidR="0086447B">
        <w:rPr>
          <w:szCs w:val="16"/>
          <w:lang w:val="fr-CA"/>
        </w:rPr>
        <w:t xml:space="preserve">est résiliée et est nulle et sans effet et est remplacée intégralement par </w:t>
      </w:r>
      <w:r w:rsidR="00365C77" w:rsidRPr="00E80C1E">
        <w:rPr>
          <w:szCs w:val="16"/>
          <w:lang w:val="fr-CA"/>
        </w:rPr>
        <w:t>la présente Convention</w:t>
      </w:r>
      <w:r w:rsidR="008D1D32">
        <w:rPr>
          <w:szCs w:val="16"/>
          <w:lang w:val="fr-CA"/>
        </w:rPr>
        <w:t> »</w:t>
      </w:r>
      <w:r w:rsidRPr="00E80C1E">
        <w:rPr>
          <w:szCs w:val="16"/>
          <w:lang w:val="fr-CA"/>
        </w:rPr>
        <w:t>.</w:t>
      </w:r>
    </w:p>
  </w:footnote>
  <w:footnote w:id="74">
    <w:p w14:paraId="6225BBA2" w14:textId="4ECA4370" w:rsidR="00AC36D3" w:rsidRPr="00E80C1E" w:rsidRDefault="00AC36D3" w:rsidP="00AC36D3">
      <w:pPr>
        <w:pStyle w:val="FootnoteText"/>
        <w:rPr>
          <w:lang w:val="fr-CA"/>
        </w:rPr>
      </w:pPr>
      <w:r w:rsidRPr="00986BEB">
        <w:rPr>
          <w:rStyle w:val="FootnoteReference"/>
          <w:lang w:val="fr-CA"/>
        </w:rPr>
        <w:footnoteRef/>
      </w:r>
      <w:r w:rsidRPr="00E80C1E">
        <w:rPr>
          <w:lang w:val="fr-CA"/>
        </w:rPr>
        <w:t xml:space="preserve"> </w:t>
      </w:r>
      <w:r w:rsidRPr="00E80C1E">
        <w:rPr>
          <w:lang w:val="fr-CA"/>
        </w:rPr>
        <w:tab/>
      </w:r>
      <w:r>
        <w:rPr>
          <w:lang w:val="fr-CA"/>
        </w:rPr>
        <w:t>Certains avocats préfèrent inclure une disposition d’arbitrage obligatoire comme seul mode de résolution des différends au motif que l’arbitrage est confidentiel et peut être moins coûteux et plus efficace</w:t>
      </w:r>
      <w:r w:rsidRPr="00E80C1E">
        <w:rPr>
          <w:lang w:val="fr-CA"/>
        </w:rPr>
        <w:t xml:space="preserve">. </w:t>
      </w:r>
      <w:r>
        <w:rPr>
          <w:lang w:val="fr-CA"/>
        </w:rPr>
        <w:t>Cependant, certains investisseurs ne sont pas favorables à l’arbitrage, car son issue ne peut être portée en appel</w:t>
      </w:r>
      <w:r w:rsidRPr="00E80C1E">
        <w:rPr>
          <w:lang w:val="fr-CA"/>
        </w:rPr>
        <w:t xml:space="preserve">, </w:t>
      </w:r>
      <w:r>
        <w:rPr>
          <w:lang w:val="fr-CA"/>
        </w:rPr>
        <w:t>et les arbitres ne sont pas tenus de suivre la jurisprudence et les précédents</w:t>
      </w:r>
      <w:r w:rsidRPr="00E80C1E">
        <w:rPr>
          <w:lang w:val="fr-CA"/>
        </w:rPr>
        <w:t>.</w:t>
      </w:r>
    </w:p>
  </w:footnote>
  <w:footnote w:id="75">
    <w:p w14:paraId="082A6385" w14:textId="7A355AA8" w:rsidR="00BC1FC7" w:rsidRPr="00E80C1E" w:rsidRDefault="000B08F2" w:rsidP="00247EA4">
      <w:pPr>
        <w:pStyle w:val="FootnoteText"/>
        <w:rPr>
          <w:lang w:val="fr-CA"/>
        </w:rPr>
      </w:pPr>
      <w:r w:rsidRPr="00986BEB">
        <w:rPr>
          <w:rStyle w:val="FootnoteReference"/>
          <w:lang w:val="fr-CA"/>
        </w:rPr>
        <w:footnoteRef/>
      </w:r>
      <w:r w:rsidRPr="00E80C1E">
        <w:rPr>
          <w:lang w:val="fr-CA"/>
        </w:rPr>
        <w:t xml:space="preserve"> </w:t>
      </w:r>
      <w:r w:rsidR="0086447B">
        <w:rPr>
          <w:lang w:val="fr-CA"/>
        </w:rPr>
        <w:t xml:space="preserve">Cette disposition ne devrait évidemment être incluse que si </w:t>
      </w:r>
      <w:r w:rsidR="00365C77" w:rsidRPr="00E80C1E">
        <w:rPr>
          <w:lang w:val="fr-CA"/>
        </w:rPr>
        <w:t>la présente Convention</w:t>
      </w:r>
      <w:r w:rsidRPr="00E80C1E">
        <w:rPr>
          <w:lang w:val="fr-CA"/>
        </w:rPr>
        <w:t xml:space="preserve"> </w:t>
      </w:r>
      <w:r w:rsidR="0086447B">
        <w:rPr>
          <w:lang w:val="fr-CA"/>
        </w:rPr>
        <w:t>se veut une convention unanime des actionnaires</w:t>
      </w:r>
      <w:r w:rsidRPr="00E80C1E">
        <w:rPr>
          <w:lang w:val="fr-CA"/>
        </w:rPr>
        <w:t xml:space="preserve">. </w:t>
      </w:r>
      <w:r w:rsidR="0086447B">
        <w:rPr>
          <w:lang w:val="fr-CA"/>
        </w:rPr>
        <w:t>Si les autres conventions doivent être incluses, elles devront être décrites ou définies correctement</w:t>
      </w:r>
      <w:r w:rsidRPr="00E80C1E">
        <w:rPr>
          <w:lang w:val="fr-CA"/>
        </w:rPr>
        <w:t>.</w:t>
      </w:r>
    </w:p>
  </w:footnote>
  <w:footnote w:id="76">
    <w:p w14:paraId="5D38AD05" w14:textId="4A39F5F7" w:rsidR="00BC1FC7" w:rsidRPr="00E80C1E" w:rsidRDefault="000B08F2" w:rsidP="00273322">
      <w:pPr>
        <w:pStyle w:val="FootnoteText"/>
        <w:rPr>
          <w:lang w:val="fr-CA"/>
        </w:rPr>
      </w:pPr>
      <w:r w:rsidRPr="00986BEB">
        <w:rPr>
          <w:rStyle w:val="FootnoteReference"/>
          <w:lang w:val="fr-CA"/>
        </w:rPr>
        <w:footnoteRef/>
      </w:r>
      <w:r w:rsidRPr="00E80C1E">
        <w:rPr>
          <w:lang w:val="fr-CA"/>
        </w:rPr>
        <w:tab/>
      </w:r>
      <w:r w:rsidR="0086447B">
        <w:rPr>
          <w:lang w:val="fr-CA"/>
        </w:rPr>
        <w:t>Insérer des blocs de signature personnalisés</w:t>
      </w:r>
      <w:r w:rsidRPr="00E80C1E">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DD8D" w14:textId="77777777" w:rsidR="00D106C7" w:rsidRDefault="00D106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8405" w14:textId="77777777" w:rsidR="00BC1FC7" w:rsidRDefault="00BC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1B13" w14:textId="77777777" w:rsidR="00D106C7" w:rsidRDefault="00D1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8A52" w14:textId="77777777" w:rsidR="00D106C7" w:rsidRDefault="00D10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42F8" w14:textId="77777777" w:rsidR="00BC1FC7" w:rsidRDefault="00BC1F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9681" w14:textId="77777777" w:rsidR="00BC1FC7" w:rsidRDefault="00BC1F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753751"/>
      <w:docPartObj>
        <w:docPartGallery w:val="Page Numbers (Top of Page)"/>
        <w:docPartUnique/>
      </w:docPartObj>
    </w:sdtPr>
    <w:sdtEndPr>
      <w:rPr>
        <w:noProof/>
      </w:rPr>
    </w:sdtEndPr>
    <w:sdtContent>
      <w:p w14:paraId="7E3C7088" w14:textId="77777777" w:rsidR="00BC1FC7" w:rsidRDefault="000B08F2">
        <w:pPr>
          <w:pStyle w:val="Header"/>
          <w:jc w:val="center"/>
        </w:pPr>
        <w:r>
          <w:fldChar w:fldCharType="begin"/>
        </w:r>
        <w:r>
          <w:instrText xml:space="preserve"> PAGE   \* MERGEFORMAT </w:instrText>
        </w:r>
        <w:r>
          <w:fldChar w:fldCharType="separate"/>
        </w:r>
        <w:r w:rsidR="009C0A37">
          <w:rPr>
            <w:noProof/>
          </w:rPr>
          <w:t>44</w:t>
        </w:r>
        <w:r>
          <w:rPr>
            <w:noProof/>
          </w:rPr>
          <w:fldChar w:fldCharType="end"/>
        </w:r>
      </w:p>
    </w:sdtContent>
  </w:sdt>
  <w:p w14:paraId="6FB60E29" w14:textId="77777777" w:rsidR="00BC1FC7" w:rsidRDefault="00BC1FC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7A2C" w14:textId="77777777" w:rsidR="00BC1FC7" w:rsidRDefault="00BC1F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5402" w14:textId="77777777" w:rsidR="00BC1FC7" w:rsidRDefault="00BC1F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1AE5" w14:textId="77777777" w:rsidR="00BC1FC7" w:rsidRDefault="00BC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 w15:restartNumberingAfterBreak="0">
    <w:nsid w:val="3B741513"/>
    <w:multiLevelType w:val="multilevel"/>
    <w:tmpl w:val="F0F43F54"/>
    <w:name w:val="zzmpSchedule||Schedule|3|1|1|5|10|41||1|12|32||1|12|32||1|12|32||1|12|32||1|12|32||1|12|32||1|12|32||1|12|32||"/>
    <w:lvl w:ilvl="0">
      <w:start w:val="1"/>
      <w:numFmt w:val="upperLetter"/>
      <w:pStyle w:val="ScheduleL1"/>
      <w:suff w:val="nothing"/>
      <w:lvlText w:val="Annexe %1"/>
      <w:lvlJc w:val="left"/>
      <w:pPr>
        <w:ind w:left="0" w:firstLine="0"/>
      </w:pPr>
      <w:rPr>
        <w:rFonts w:hint="default"/>
        <w:b/>
        <w:i w:val="0"/>
        <w:caps/>
        <w:smallCaps w:val="0"/>
        <w:color w:val="auto"/>
        <w:u w:val="none"/>
      </w:rPr>
    </w:lvl>
    <w:lvl w:ilvl="1">
      <w:start w:val="1"/>
      <w:numFmt w:val="decimal"/>
      <w:pStyle w:val="ScheduleL2"/>
      <w:lvlText w:val="%2."/>
      <w:lvlJc w:val="left"/>
      <w:pPr>
        <w:tabs>
          <w:tab w:val="num" w:pos="720"/>
        </w:tabs>
        <w:ind w:left="720" w:hanging="720"/>
      </w:pPr>
      <w:rPr>
        <w:rFonts w:hint="default"/>
        <w:b w:val="0"/>
        <w:i w:val="0"/>
        <w:caps w:val="0"/>
        <w:color w:val="auto"/>
        <w:u w:val="none"/>
      </w:rPr>
    </w:lvl>
    <w:lvl w:ilvl="2">
      <w:start w:val="1"/>
      <w:numFmt w:val="lowerLetter"/>
      <w:pStyle w:val="ScheduleL3"/>
      <w:lvlText w:val="%3)"/>
      <w:lvlJc w:val="left"/>
      <w:pPr>
        <w:tabs>
          <w:tab w:val="num" w:pos="1440"/>
        </w:tabs>
        <w:ind w:left="1440" w:hanging="720"/>
      </w:pPr>
      <w:rPr>
        <w:rFonts w:hint="default"/>
        <w:b w:val="0"/>
        <w:i w:val="0"/>
        <w:caps w:val="0"/>
        <w:color w:val="auto"/>
        <w:u w:val="none"/>
      </w:rPr>
    </w:lvl>
    <w:lvl w:ilvl="3">
      <w:start w:val="1"/>
      <w:numFmt w:val="upperLetter"/>
      <w:pStyle w:val="ScheduleL4"/>
      <w:lvlText w:val="(%4)"/>
      <w:lvlJc w:val="left"/>
      <w:pPr>
        <w:tabs>
          <w:tab w:val="num" w:pos="2880"/>
        </w:tabs>
        <w:ind w:left="2880" w:hanging="720"/>
      </w:pPr>
      <w:rPr>
        <w:rFonts w:hint="default"/>
        <w:b w:val="0"/>
        <w:i w:val="0"/>
        <w:caps w:val="0"/>
        <w:color w:val="auto"/>
        <w:u w:val="none"/>
      </w:rPr>
    </w:lvl>
    <w:lvl w:ilvl="4">
      <w:start w:val="1"/>
      <w:numFmt w:val="decimal"/>
      <w:pStyle w:val="ScheduleL5"/>
      <w:lvlText w:val="(%5)"/>
      <w:lvlJc w:val="left"/>
      <w:pPr>
        <w:tabs>
          <w:tab w:val="num" w:pos="3600"/>
        </w:tabs>
        <w:ind w:left="3600" w:hanging="720"/>
      </w:pPr>
      <w:rPr>
        <w:rFonts w:hint="default"/>
        <w:b w:val="0"/>
        <w:i w:val="0"/>
        <w:caps w:val="0"/>
        <w:color w:val="auto"/>
        <w:u w:val="none"/>
      </w:rPr>
    </w:lvl>
    <w:lvl w:ilvl="5">
      <w:start w:val="1"/>
      <w:numFmt w:val="lowerLetter"/>
      <w:pStyle w:val="ScheduleL6"/>
      <w:lvlText w:val="%6)"/>
      <w:lvlJc w:val="left"/>
      <w:pPr>
        <w:tabs>
          <w:tab w:val="num" w:pos="4320"/>
        </w:tabs>
        <w:ind w:left="4320" w:hanging="720"/>
      </w:pPr>
      <w:rPr>
        <w:rFonts w:hint="default"/>
        <w:b w:val="0"/>
        <w:i w:val="0"/>
        <w:caps w:val="0"/>
        <w:color w:val="auto"/>
        <w:u w:val="none"/>
      </w:rPr>
    </w:lvl>
    <w:lvl w:ilvl="6">
      <w:start w:val="1"/>
      <w:numFmt w:val="lowerRoman"/>
      <w:pStyle w:val="ScheduleL7"/>
      <w:lvlText w:val="%7)"/>
      <w:lvlJc w:val="left"/>
      <w:pPr>
        <w:tabs>
          <w:tab w:val="num" w:pos="5040"/>
        </w:tabs>
        <w:ind w:left="5040" w:hanging="720"/>
      </w:pPr>
      <w:rPr>
        <w:rFonts w:hint="default"/>
        <w:b w:val="0"/>
        <w:i w:val="0"/>
        <w:caps w:val="0"/>
        <w:color w:val="auto"/>
        <w:u w:val="none"/>
      </w:rPr>
    </w:lvl>
    <w:lvl w:ilvl="7">
      <w:start w:val="1"/>
      <w:numFmt w:val="upperLetter"/>
      <w:pStyle w:val="ScheduleL8"/>
      <w:lvlText w:val="%8)"/>
      <w:lvlJc w:val="left"/>
      <w:pPr>
        <w:tabs>
          <w:tab w:val="num" w:pos="5760"/>
        </w:tabs>
        <w:ind w:left="5760" w:hanging="720"/>
      </w:pPr>
      <w:rPr>
        <w:rFonts w:hint="default"/>
        <w:b w:val="0"/>
        <w:i w:val="0"/>
        <w:caps w:val="0"/>
        <w:color w:val="auto"/>
        <w:u w:val="none"/>
      </w:rPr>
    </w:lvl>
    <w:lvl w:ilvl="8">
      <w:start w:val="1"/>
      <w:numFmt w:val="decimal"/>
      <w:pStyle w:val="ScheduleL9"/>
      <w:lvlText w:val="%9)"/>
      <w:lvlJc w:val="left"/>
      <w:pPr>
        <w:tabs>
          <w:tab w:val="num" w:pos="6480"/>
        </w:tabs>
        <w:ind w:left="6480" w:hanging="720"/>
      </w:pPr>
      <w:rPr>
        <w:rFonts w:hint="default"/>
        <w:b w:val="0"/>
        <w:i w:val="0"/>
        <w:caps w:val="0"/>
        <w:color w:val="auto"/>
        <w:u w:val="none"/>
      </w:rPr>
    </w:lvl>
  </w:abstractNum>
  <w:abstractNum w:abstractNumId="2"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D73AD9"/>
    <w:multiLevelType w:val="multilevel"/>
    <w:tmpl w:val="FC9A3E9C"/>
    <w:name w:val="zzmpStandard||Standard|2|1|1|1|4|36||1|4|36||1|4|32||1|12|32||1|12|32||1|12|32||1|12|32||1|12|32||1|12|32||"/>
    <w:lvl w:ilvl="0">
      <w:start w:val="1"/>
      <w:numFmt w:val="decimal"/>
      <w:pStyle w:val="StandardL1"/>
      <w:lvlText w:val="%1."/>
      <w:lvlJc w:val="left"/>
      <w:pPr>
        <w:tabs>
          <w:tab w:val="num" w:pos="72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1">
      <w:start w:val="1"/>
      <w:numFmt w:val="decimal"/>
      <w:pStyle w:val="StandardL2"/>
      <w:lvlText w:val="%1.%2"/>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StandardL3"/>
      <w:lvlText w:val="%3)"/>
      <w:lvlJc w:val="left"/>
      <w:pPr>
        <w:tabs>
          <w:tab w:val="num" w:pos="1440"/>
        </w:tabs>
        <w:ind w:left="0" w:firstLine="72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StandardL4"/>
      <w:lvlText w:val="(%4)"/>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Standard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Roman"/>
      <w:pStyle w:val="StandardL7"/>
      <w:lvlText w:val="%7)"/>
      <w:lvlJc w:val="left"/>
      <w:pPr>
        <w:tabs>
          <w:tab w:val="num" w:pos="5040"/>
        </w:tabs>
        <w:ind w:left="504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decimal"/>
      <w:pStyle w:val="StandardL9"/>
      <w:lvlText w:val="%9)"/>
      <w:lvlJc w:val="left"/>
      <w:pPr>
        <w:tabs>
          <w:tab w:val="num" w:pos="6480"/>
        </w:tabs>
        <w:ind w:left="648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4" w15:restartNumberingAfterBreak="0">
    <w:nsid w:val="5F8F3F86"/>
    <w:multiLevelType w:val="multilevel"/>
    <w:tmpl w:val="CBCA8C00"/>
    <w:name w:val="zzmpExhibit||Exhibit|3|1|1|5|10|41||1|12|32||1|12|32||1|12|32||1|12|32||1|12|32||1|12|32||1|12|32||1|12|32||"/>
    <w:lvl w:ilvl="0">
      <w:start w:val="1"/>
      <w:numFmt w:val="upperLetter"/>
      <w:pStyle w:val="ExhibitL1"/>
      <w:suff w:val="nothing"/>
      <w:lvlText w:val="Exhibit %1"/>
      <w:lvlJc w:val="left"/>
      <w:pPr>
        <w:tabs>
          <w:tab w:val="num" w:pos="720"/>
        </w:tabs>
        <w:ind w:left="0" w:firstLine="0"/>
      </w:pPr>
      <w:rPr>
        <w:b/>
        <w:i w:val="0"/>
        <w:caps/>
        <w:smallCaps w:val="0"/>
        <w:color w:val="auto"/>
        <w:u w:val="none"/>
      </w:rPr>
    </w:lvl>
    <w:lvl w:ilvl="1">
      <w:start w:val="1"/>
      <w:numFmt w:val="decimal"/>
      <w:pStyle w:val="ExhibitL2"/>
      <w:lvlText w:val="%2."/>
      <w:lvlJc w:val="left"/>
      <w:pPr>
        <w:tabs>
          <w:tab w:val="num" w:pos="720"/>
        </w:tabs>
        <w:ind w:left="720" w:hanging="720"/>
      </w:pPr>
      <w:rPr>
        <w:b w:val="0"/>
        <w:i w:val="0"/>
        <w:caps w:val="0"/>
        <w:color w:val="auto"/>
        <w:u w:val="none"/>
      </w:rPr>
    </w:lvl>
    <w:lvl w:ilvl="2">
      <w:start w:val="1"/>
      <w:numFmt w:val="lowerLetter"/>
      <w:pStyle w:val="ExhibitL3"/>
      <w:lvlText w:val="%3)"/>
      <w:lvlJc w:val="left"/>
      <w:pPr>
        <w:tabs>
          <w:tab w:val="num" w:pos="1440"/>
        </w:tabs>
        <w:ind w:left="1440" w:hanging="720"/>
      </w:pPr>
      <w:rPr>
        <w:b w:val="0"/>
        <w:i w:val="0"/>
        <w:caps w:val="0"/>
        <w:color w:val="auto"/>
        <w:u w:val="none"/>
      </w:rPr>
    </w:lvl>
    <w:lvl w:ilvl="3">
      <w:start w:val="1"/>
      <w:numFmt w:val="upperLetter"/>
      <w:pStyle w:val="ExhibitL4"/>
      <w:lvlText w:val="(%4)"/>
      <w:lvlJc w:val="left"/>
      <w:pPr>
        <w:tabs>
          <w:tab w:val="num" w:pos="2880"/>
        </w:tabs>
        <w:ind w:left="2880" w:hanging="720"/>
      </w:pPr>
      <w:rPr>
        <w:b w:val="0"/>
        <w:i w:val="0"/>
        <w:caps w:val="0"/>
        <w:color w:val="auto"/>
        <w:u w:val="none"/>
      </w:rPr>
    </w:lvl>
    <w:lvl w:ilvl="4">
      <w:start w:val="1"/>
      <w:numFmt w:val="decimal"/>
      <w:pStyle w:val="ExhibitL5"/>
      <w:lvlText w:val="(%5)"/>
      <w:lvlJc w:val="left"/>
      <w:pPr>
        <w:tabs>
          <w:tab w:val="num" w:pos="3600"/>
        </w:tabs>
        <w:ind w:left="3600" w:hanging="720"/>
      </w:pPr>
      <w:rPr>
        <w:b w:val="0"/>
        <w:i w:val="0"/>
        <w:caps w:val="0"/>
        <w:color w:val="auto"/>
        <w:u w:val="none"/>
      </w:rPr>
    </w:lvl>
    <w:lvl w:ilvl="5">
      <w:start w:val="1"/>
      <w:numFmt w:val="lowerLetter"/>
      <w:pStyle w:val="ExhibitL6"/>
      <w:lvlText w:val="%6)"/>
      <w:lvlJc w:val="left"/>
      <w:pPr>
        <w:tabs>
          <w:tab w:val="num" w:pos="4320"/>
        </w:tabs>
        <w:ind w:left="4320" w:hanging="720"/>
      </w:pPr>
      <w:rPr>
        <w:b w:val="0"/>
        <w:i w:val="0"/>
        <w:caps w:val="0"/>
        <w:color w:val="auto"/>
        <w:u w:val="none"/>
      </w:rPr>
    </w:lvl>
    <w:lvl w:ilvl="6">
      <w:start w:val="1"/>
      <w:numFmt w:val="lowerRoman"/>
      <w:pStyle w:val="ExhibitL7"/>
      <w:lvlText w:val="%7)"/>
      <w:lvlJc w:val="left"/>
      <w:pPr>
        <w:tabs>
          <w:tab w:val="num" w:pos="5040"/>
        </w:tabs>
        <w:ind w:left="5040" w:hanging="720"/>
      </w:pPr>
      <w:rPr>
        <w:b w:val="0"/>
        <w:i w:val="0"/>
        <w:caps w:val="0"/>
        <w:color w:val="auto"/>
        <w:u w:val="none"/>
      </w:rPr>
    </w:lvl>
    <w:lvl w:ilvl="7">
      <w:start w:val="1"/>
      <w:numFmt w:val="upperLetter"/>
      <w:pStyle w:val="ExhibitL8"/>
      <w:lvlText w:val="%8)"/>
      <w:lvlJc w:val="left"/>
      <w:pPr>
        <w:tabs>
          <w:tab w:val="num" w:pos="5760"/>
        </w:tabs>
        <w:ind w:left="5760" w:hanging="720"/>
      </w:pPr>
      <w:rPr>
        <w:b w:val="0"/>
        <w:i w:val="0"/>
        <w:caps w:val="0"/>
        <w:color w:val="auto"/>
        <w:u w:val="none"/>
      </w:rPr>
    </w:lvl>
    <w:lvl w:ilvl="8">
      <w:start w:val="1"/>
      <w:numFmt w:val="decimal"/>
      <w:pStyle w:val="ExhibitL9"/>
      <w:lvlText w:val="%9)"/>
      <w:lvlJc w:val="left"/>
      <w:pPr>
        <w:tabs>
          <w:tab w:val="num" w:pos="6480"/>
        </w:tabs>
        <w:ind w:left="6480" w:hanging="720"/>
      </w:pPr>
      <w:rPr>
        <w:b w:val="0"/>
        <w:i w:val="0"/>
        <w:caps w:val="0"/>
        <w:color w:val="auto"/>
        <w:u w:val="none"/>
      </w:rPr>
    </w:lvl>
  </w:abstractNum>
  <w:abstractNum w:abstractNumId="5" w15:restartNumberingAfterBreak="0">
    <w:nsid w:val="667E37DB"/>
    <w:multiLevelType w:val="multilevel"/>
    <w:tmpl w:val="9F62E50C"/>
    <w:name w:val="zzmpDefinition||Definitions|3|1|1|1|12|32||1|12|32||1|12|32||1|12|32||1|12|32||1|12|32||1|12|32||1|12|32||1|12|32||"/>
    <w:lvl w:ilvl="0">
      <w:start w:val="1"/>
      <w:numFmt w:val="decimal"/>
      <w:pStyle w:val="DefinitionL1"/>
      <w:lvlText w:val="1.%1"/>
      <w:lvlJc w:val="left"/>
      <w:pPr>
        <w:tabs>
          <w:tab w:val="num" w:pos="1440"/>
        </w:tabs>
        <w:ind w:left="720" w:firstLine="0"/>
      </w:pPr>
      <w:rPr>
        <w:b w:val="0"/>
        <w:i w:val="0"/>
        <w:caps w:val="0"/>
        <w:color w:val="auto"/>
        <w:u w:val="none"/>
      </w:rPr>
    </w:lvl>
    <w:lvl w:ilvl="1">
      <w:start w:val="1"/>
      <w:numFmt w:val="lowerLetter"/>
      <w:pStyle w:val="DefinitionL2"/>
      <w:lvlText w:val="(%2)"/>
      <w:lvlJc w:val="left"/>
      <w:pPr>
        <w:tabs>
          <w:tab w:val="num" w:pos="1440"/>
        </w:tabs>
        <w:ind w:left="1440" w:hanging="720"/>
      </w:pPr>
      <w:rPr>
        <w:b w:val="0"/>
        <w:i w:val="0"/>
        <w:caps w:val="0"/>
        <w:color w:val="auto"/>
        <w:u w:val="none"/>
      </w:rPr>
    </w:lvl>
    <w:lvl w:ilvl="2">
      <w:start w:val="1"/>
      <w:numFmt w:val="lowerRoman"/>
      <w:pStyle w:val="DefinitionL3"/>
      <w:lvlText w:val="(%3)"/>
      <w:lvlJc w:val="left"/>
      <w:pPr>
        <w:tabs>
          <w:tab w:val="num" w:pos="2160"/>
        </w:tabs>
        <w:ind w:left="2160" w:hanging="720"/>
      </w:pPr>
      <w:rPr>
        <w:b w:val="0"/>
        <w:i w:val="0"/>
        <w:caps w:val="0"/>
        <w:color w:val="auto"/>
        <w:u w:val="none"/>
      </w:rPr>
    </w:lvl>
    <w:lvl w:ilvl="3">
      <w:start w:val="1"/>
      <w:numFmt w:val="upperLetter"/>
      <w:pStyle w:val="DefinitionL4"/>
      <w:lvlText w:val="(%4)"/>
      <w:lvlJc w:val="left"/>
      <w:pPr>
        <w:tabs>
          <w:tab w:val="num" w:pos="2880"/>
        </w:tabs>
        <w:ind w:left="2880" w:hanging="720"/>
      </w:pPr>
      <w:rPr>
        <w:b w:val="0"/>
        <w:i w:val="0"/>
        <w:caps w:val="0"/>
        <w:color w:val="auto"/>
        <w:u w:val="none"/>
      </w:rPr>
    </w:lvl>
    <w:lvl w:ilvl="4">
      <w:start w:val="1"/>
      <w:numFmt w:val="decimal"/>
      <w:pStyle w:val="DefinitionL5"/>
      <w:lvlText w:val="(%5)"/>
      <w:lvlJc w:val="left"/>
      <w:pPr>
        <w:tabs>
          <w:tab w:val="num" w:pos="3600"/>
        </w:tabs>
        <w:ind w:left="3600" w:hanging="720"/>
      </w:pPr>
      <w:rPr>
        <w:b w:val="0"/>
        <w:i w:val="0"/>
        <w:caps w:val="0"/>
        <w:color w:val="auto"/>
        <w:u w:val="none"/>
      </w:rPr>
    </w:lvl>
    <w:lvl w:ilvl="5">
      <w:start w:val="1"/>
      <w:numFmt w:val="lowerLetter"/>
      <w:pStyle w:val="DefinitionL6"/>
      <w:lvlText w:val="%6)"/>
      <w:lvlJc w:val="left"/>
      <w:pPr>
        <w:tabs>
          <w:tab w:val="num" w:pos="4320"/>
        </w:tabs>
        <w:ind w:left="4320" w:hanging="720"/>
      </w:pPr>
      <w:rPr>
        <w:b w:val="0"/>
        <w:i w:val="0"/>
        <w:caps w:val="0"/>
        <w:color w:val="auto"/>
        <w:u w:val="none"/>
      </w:rPr>
    </w:lvl>
    <w:lvl w:ilvl="6">
      <w:start w:val="1"/>
      <w:numFmt w:val="lowerRoman"/>
      <w:pStyle w:val="DefinitionL7"/>
      <w:lvlText w:val="%7)"/>
      <w:lvlJc w:val="left"/>
      <w:pPr>
        <w:tabs>
          <w:tab w:val="num" w:pos="5040"/>
        </w:tabs>
        <w:ind w:left="5040" w:hanging="720"/>
      </w:pPr>
      <w:rPr>
        <w:b w:val="0"/>
        <w:i w:val="0"/>
        <w:caps w:val="0"/>
        <w:color w:val="auto"/>
        <w:u w:val="none"/>
      </w:rPr>
    </w:lvl>
    <w:lvl w:ilvl="7">
      <w:start w:val="1"/>
      <w:numFmt w:val="upperLetter"/>
      <w:pStyle w:val="DefinitionL8"/>
      <w:lvlText w:val="%8)"/>
      <w:lvlJc w:val="left"/>
      <w:pPr>
        <w:tabs>
          <w:tab w:val="num" w:pos="5760"/>
        </w:tabs>
        <w:ind w:left="5760" w:hanging="720"/>
      </w:pPr>
      <w:rPr>
        <w:b w:val="0"/>
        <w:i w:val="0"/>
        <w:caps w:val="0"/>
        <w:color w:val="auto"/>
        <w:u w:val="none"/>
      </w:rPr>
    </w:lvl>
    <w:lvl w:ilvl="8">
      <w:start w:val="1"/>
      <w:numFmt w:val="decimal"/>
      <w:pStyle w:val="DefinitionL9"/>
      <w:lvlText w:val="%9)"/>
      <w:lvlJc w:val="left"/>
      <w:pPr>
        <w:tabs>
          <w:tab w:val="num" w:pos="6480"/>
        </w:tabs>
        <w:ind w:left="6480" w:hanging="720"/>
      </w:pPr>
      <w:rPr>
        <w:b w:val="0"/>
        <w:i w:val="0"/>
        <w:caps w:val="0"/>
        <w:color w:val="auto"/>
        <w:u w:val="none"/>
      </w:rPr>
    </w:lvl>
  </w:abstractNum>
  <w:abstractNum w:abstractNumId="6"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8202960">
    <w:abstractNumId w:val="0"/>
  </w:num>
  <w:num w:numId="2" w16cid:durableId="767653213">
    <w:abstractNumId w:val="2"/>
  </w:num>
  <w:num w:numId="3" w16cid:durableId="659308057">
    <w:abstractNumId w:val="6"/>
  </w:num>
  <w:num w:numId="4" w16cid:durableId="2005350446">
    <w:abstractNumId w:val="3"/>
  </w:num>
  <w:num w:numId="5" w16cid:durableId="422801938">
    <w:abstractNumId w:val="5"/>
  </w:num>
  <w:num w:numId="6" w16cid:durableId="526411298">
    <w:abstractNumId w:val="1"/>
  </w:num>
  <w:num w:numId="7" w16cid:durableId="547184425">
    <w:abstractNumId w:val="4"/>
  </w:num>
  <w:num w:numId="8" w16cid:durableId="1612937201">
    <w:abstractNumId w:val="3"/>
  </w:num>
  <w:num w:numId="9" w16cid:durableId="1646007602">
    <w:abstractNumId w:val="3"/>
  </w:num>
  <w:num w:numId="10" w16cid:durableId="473066432">
    <w:abstractNumId w:val="3"/>
  </w:num>
  <w:num w:numId="11" w16cid:durableId="1227765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0310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327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3780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amp;⌔#⌐┗┥439}{Ŕm~Þ⌍”A⌓IÐ¤pë⌎-¬Uß⌟#⌋à&amp;!u0ºGÓ lD⌒åvú@-/E#&quot;ÌÏíÍŖúw⌛9cÆ‖⌗¤⌝⌉bSsèÇ‣H8⌒—]Ù*x_yó“©âT⌚Q‼êÕ ˝P;ö[´ÌU0Ã/P5‣_¾þf©※ÔÿX&amp;V¦⌓pF@66¿‚⌄ˇÛ,·ÛázÆb&gt;ô¾O8{ÀÿçÁ_ÜÚ,⌝⌕7¯‱uUp‡_[Õ⌋Z~=ç]8:a\011"/>
    <w:docVar w:name="zzmp10LastTrailerInserted_1078" w:val="^`~#mp!@⌖&amp;⌔#⌐┗┥439}{Ŕm~Þ⌍”A⌓IÐ¤pë⌎-¬Uß⌟#⌋à&amp;!u0ºGÓ lD⌒åvú@-/E#&quot;ÌÏíÍŖúw⌛9cÆ‖⌗¤⌝⌉bSsèÇ‣H8⌒—]Ù*x_yó“©âT⌚Q‼êÕ ˝P;ö[´ÌU0Ã/P5‣_¾þf©※ÔÿX&amp;V¦⌓pF@66¿‚⌄ˇÛ,·ÛázÆb&gt;ô¾O8{ÀÿçÁ_ÜÚ,⌝⌕7¯‱uUp‡_[Õ⌋Z~=ç]8:a\011"/>
    <w:docVar w:name="zzmp10mSEGsValidated" w:val="1"/>
    <w:docVar w:name="zzmpCompatibilityMode" w:val="15"/>
  </w:docVars>
  <w:rsids>
    <w:rsidRoot w:val="00037C7E"/>
    <w:rsid w:val="00000724"/>
    <w:rsid w:val="00001B73"/>
    <w:rsid w:val="00002F5E"/>
    <w:rsid w:val="000030F0"/>
    <w:rsid w:val="00007601"/>
    <w:rsid w:val="00013AE0"/>
    <w:rsid w:val="000142DA"/>
    <w:rsid w:val="000168B0"/>
    <w:rsid w:val="00017344"/>
    <w:rsid w:val="00023F37"/>
    <w:rsid w:val="000268BC"/>
    <w:rsid w:val="0002701F"/>
    <w:rsid w:val="00037C7E"/>
    <w:rsid w:val="000449E0"/>
    <w:rsid w:val="00045D3D"/>
    <w:rsid w:val="000472F4"/>
    <w:rsid w:val="00052C68"/>
    <w:rsid w:val="00054CF7"/>
    <w:rsid w:val="0005791A"/>
    <w:rsid w:val="0006140E"/>
    <w:rsid w:val="0006151F"/>
    <w:rsid w:val="000621ED"/>
    <w:rsid w:val="0006561D"/>
    <w:rsid w:val="00065803"/>
    <w:rsid w:val="000701A7"/>
    <w:rsid w:val="000707F0"/>
    <w:rsid w:val="0007367B"/>
    <w:rsid w:val="00073CAE"/>
    <w:rsid w:val="00077C7A"/>
    <w:rsid w:val="00080016"/>
    <w:rsid w:val="000811F2"/>
    <w:rsid w:val="000833F5"/>
    <w:rsid w:val="000870A7"/>
    <w:rsid w:val="00091EAC"/>
    <w:rsid w:val="00091FB9"/>
    <w:rsid w:val="00095AD5"/>
    <w:rsid w:val="000974FE"/>
    <w:rsid w:val="000A1E16"/>
    <w:rsid w:val="000A2411"/>
    <w:rsid w:val="000A3501"/>
    <w:rsid w:val="000A5609"/>
    <w:rsid w:val="000A69DC"/>
    <w:rsid w:val="000A701F"/>
    <w:rsid w:val="000A7A64"/>
    <w:rsid w:val="000B08F2"/>
    <w:rsid w:val="000B6CF1"/>
    <w:rsid w:val="000C4CB8"/>
    <w:rsid w:val="000D0343"/>
    <w:rsid w:val="000D3F35"/>
    <w:rsid w:val="000D49DC"/>
    <w:rsid w:val="000E12C5"/>
    <w:rsid w:val="000E37C3"/>
    <w:rsid w:val="000E3B65"/>
    <w:rsid w:val="000F37C7"/>
    <w:rsid w:val="000F65E5"/>
    <w:rsid w:val="000F68A6"/>
    <w:rsid w:val="000F6D29"/>
    <w:rsid w:val="00101B4D"/>
    <w:rsid w:val="001078DF"/>
    <w:rsid w:val="00107E43"/>
    <w:rsid w:val="00112D96"/>
    <w:rsid w:val="001172C9"/>
    <w:rsid w:val="001173EA"/>
    <w:rsid w:val="001256C3"/>
    <w:rsid w:val="00125C8A"/>
    <w:rsid w:val="00127BD6"/>
    <w:rsid w:val="001302B1"/>
    <w:rsid w:val="00130D94"/>
    <w:rsid w:val="001373E4"/>
    <w:rsid w:val="00140886"/>
    <w:rsid w:val="0014173B"/>
    <w:rsid w:val="001426FB"/>
    <w:rsid w:val="00142D9C"/>
    <w:rsid w:val="0014633A"/>
    <w:rsid w:val="001473EF"/>
    <w:rsid w:val="00152515"/>
    <w:rsid w:val="001531D2"/>
    <w:rsid w:val="00153B2A"/>
    <w:rsid w:val="00156326"/>
    <w:rsid w:val="001573B0"/>
    <w:rsid w:val="0016271C"/>
    <w:rsid w:val="00162CB2"/>
    <w:rsid w:val="00163F80"/>
    <w:rsid w:val="00164514"/>
    <w:rsid w:val="00165B44"/>
    <w:rsid w:val="00166D70"/>
    <w:rsid w:val="00167AF6"/>
    <w:rsid w:val="00175919"/>
    <w:rsid w:val="00180CA4"/>
    <w:rsid w:val="001813AA"/>
    <w:rsid w:val="0018173C"/>
    <w:rsid w:val="00184638"/>
    <w:rsid w:val="00192B5D"/>
    <w:rsid w:val="001967C7"/>
    <w:rsid w:val="001A484F"/>
    <w:rsid w:val="001A68D0"/>
    <w:rsid w:val="001A6E3C"/>
    <w:rsid w:val="001A74F7"/>
    <w:rsid w:val="001A7FF9"/>
    <w:rsid w:val="001B077D"/>
    <w:rsid w:val="001B54B4"/>
    <w:rsid w:val="001B6134"/>
    <w:rsid w:val="001B71F8"/>
    <w:rsid w:val="001C400F"/>
    <w:rsid w:val="001C48D8"/>
    <w:rsid w:val="001C615A"/>
    <w:rsid w:val="001D5D61"/>
    <w:rsid w:val="001D6BBD"/>
    <w:rsid w:val="001E0E69"/>
    <w:rsid w:val="001E60C1"/>
    <w:rsid w:val="001E6E8E"/>
    <w:rsid w:val="001E78D0"/>
    <w:rsid w:val="001F226E"/>
    <w:rsid w:val="001F3C61"/>
    <w:rsid w:val="001F60E8"/>
    <w:rsid w:val="001F6EDB"/>
    <w:rsid w:val="001F725A"/>
    <w:rsid w:val="001F7454"/>
    <w:rsid w:val="001F7C54"/>
    <w:rsid w:val="00204A0D"/>
    <w:rsid w:val="002165F5"/>
    <w:rsid w:val="00220502"/>
    <w:rsid w:val="002206EA"/>
    <w:rsid w:val="00220DE9"/>
    <w:rsid w:val="00223A04"/>
    <w:rsid w:val="00224A1B"/>
    <w:rsid w:val="00230A97"/>
    <w:rsid w:val="00230BD1"/>
    <w:rsid w:val="00230F85"/>
    <w:rsid w:val="00234E82"/>
    <w:rsid w:val="00240723"/>
    <w:rsid w:val="0024270F"/>
    <w:rsid w:val="00245DA9"/>
    <w:rsid w:val="00247EA4"/>
    <w:rsid w:val="002512A5"/>
    <w:rsid w:val="00253F9C"/>
    <w:rsid w:val="0025495F"/>
    <w:rsid w:val="00254C56"/>
    <w:rsid w:val="00260686"/>
    <w:rsid w:val="00264601"/>
    <w:rsid w:val="00264819"/>
    <w:rsid w:val="002652BA"/>
    <w:rsid w:val="00265316"/>
    <w:rsid w:val="00265A5D"/>
    <w:rsid w:val="002665CB"/>
    <w:rsid w:val="00266D7D"/>
    <w:rsid w:val="002679A0"/>
    <w:rsid w:val="00273322"/>
    <w:rsid w:val="002764D0"/>
    <w:rsid w:val="00277678"/>
    <w:rsid w:val="002805D7"/>
    <w:rsid w:val="00280E4E"/>
    <w:rsid w:val="00280F12"/>
    <w:rsid w:val="00282C2D"/>
    <w:rsid w:val="002844CB"/>
    <w:rsid w:val="0028621E"/>
    <w:rsid w:val="0029380C"/>
    <w:rsid w:val="00293FA0"/>
    <w:rsid w:val="00294294"/>
    <w:rsid w:val="0029722B"/>
    <w:rsid w:val="002A08C8"/>
    <w:rsid w:val="002A0A03"/>
    <w:rsid w:val="002A0F83"/>
    <w:rsid w:val="002A1FCF"/>
    <w:rsid w:val="002A24C5"/>
    <w:rsid w:val="002A750A"/>
    <w:rsid w:val="002B4898"/>
    <w:rsid w:val="002C530F"/>
    <w:rsid w:val="002C623A"/>
    <w:rsid w:val="002C72C8"/>
    <w:rsid w:val="002D171F"/>
    <w:rsid w:val="002D3DAC"/>
    <w:rsid w:val="002D3E8C"/>
    <w:rsid w:val="002D67BC"/>
    <w:rsid w:val="002D7535"/>
    <w:rsid w:val="002E1624"/>
    <w:rsid w:val="002E3F4B"/>
    <w:rsid w:val="002F0E89"/>
    <w:rsid w:val="002F20BB"/>
    <w:rsid w:val="002F4BC0"/>
    <w:rsid w:val="002F51A5"/>
    <w:rsid w:val="002F628F"/>
    <w:rsid w:val="002F69AB"/>
    <w:rsid w:val="002F784E"/>
    <w:rsid w:val="00300032"/>
    <w:rsid w:val="003056A3"/>
    <w:rsid w:val="0030603B"/>
    <w:rsid w:val="003116F3"/>
    <w:rsid w:val="00311F76"/>
    <w:rsid w:val="003174C2"/>
    <w:rsid w:val="00322DFB"/>
    <w:rsid w:val="00327EE8"/>
    <w:rsid w:val="00330250"/>
    <w:rsid w:val="00330C20"/>
    <w:rsid w:val="003316D0"/>
    <w:rsid w:val="00331D40"/>
    <w:rsid w:val="00332687"/>
    <w:rsid w:val="00332A61"/>
    <w:rsid w:val="0033655C"/>
    <w:rsid w:val="00343E82"/>
    <w:rsid w:val="00344D16"/>
    <w:rsid w:val="00354D83"/>
    <w:rsid w:val="00356104"/>
    <w:rsid w:val="003642B7"/>
    <w:rsid w:val="00365602"/>
    <w:rsid w:val="00365C77"/>
    <w:rsid w:val="00366955"/>
    <w:rsid w:val="00372AE4"/>
    <w:rsid w:val="00372D9A"/>
    <w:rsid w:val="00372E4F"/>
    <w:rsid w:val="003754E4"/>
    <w:rsid w:val="00375C13"/>
    <w:rsid w:val="00376539"/>
    <w:rsid w:val="00380A1A"/>
    <w:rsid w:val="003821B9"/>
    <w:rsid w:val="00382E39"/>
    <w:rsid w:val="00384AD5"/>
    <w:rsid w:val="0038639B"/>
    <w:rsid w:val="00387417"/>
    <w:rsid w:val="003A0374"/>
    <w:rsid w:val="003A2697"/>
    <w:rsid w:val="003A4511"/>
    <w:rsid w:val="003B175A"/>
    <w:rsid w:val="003B2417"/>
    <w:rsid w:val="003C0104"/>
    <w:rsid w:val="003C32B1"/>
    <w:rsid w:val="003C4623"/>
    <w:rsid w:val="003C71BA"/>
    <w:rsid w:val="003D00BA"/>
    <w:rsid w:val="003D05A1"/>
    <w:rsid w:val="003D0682"/>
    <w:rsid w:val="003D09A3"/>
    <w:rsid w:val="003D66BC"/>
    <w:rsid w:val="003E34EC"/>
    <w:rsid w:val="003E6934"/>
    <w:rsid w:val="003F057A"/>
    <w:rsid w:val="003F2C54"/>
    <w:rsid w:val="003F71B6"/>
    <w:rsid w:val="004048D3"/>
    <w:rsid w:val="00406376"/>
    <w:rsid w:val="0041095D"/>
    <w:rsid w:val="00414A88"/>
    <w:rsid w:val="00414F04"/>
    <w:rsid w:val="00421E9D"/>
    <w:rsid w:val="0042315F"/>
    <w:rsid w:val="00424268"/>
    <w:rsid w:val="00430997"/>
    <w:rsid w:val="00432DB3"/>
    <w:rsid w:val="0043440B"/>
    <w:rsid w:val="00435DD4"/>
    <w:rsid w:val="00437FEB"/>
    <w:rsid w:val="004402CA"/>
    <w:rsid w:val="00443986"/>
    <w:rsid w:val="00443BDC"/>
    <w:rsid w:val="00454899"/>
    <w:rsid w:val="00457F02"/>
    <w:rsid w:val="00462918"/>
    <w:rsid w:val="0046297C"/>
    <w:rsid w:val="00462B25"/>
    <w:rsid w:val="00465D7A"/>
    <w:rsid w:val="004723A1"/>
    <w:rsid w:val="00472F65"/>
    <w:rsid w:val="004819E1"/>
    <w:rsid w:val="00487853"/>
    <w:rsid w:val="004926D4"/>
    <w:rsid w:val="00492CAD"/>
    <w:rsid w:val="004A0089"/>
    <w:rsid w:val="004A137A"/>
    <w:rsid w:val="004A2024"/>
    <w:rsid w:val="004B1865"/>
    <w:rsid w:val="004B39B4"/>
    <w:rsid w:val="004B449C"/>
    <w:rsid w:val="004B6285"/>
    <w:rsid w:val="004D3453"/>
    <w:rsid w:val="004E1041"/>
    <w:rsid w:val="004E6C43"/>
    <w:rsid w:val="004F25D6"/>
    <w:rsid w:val="004F4B32"/>
    <w:rsid w:val="004F5E79"/>
    <w:rsid w:val="00501349"/>
    <w:rsid w:val="00503DD0"/>
    <w:rsid w:val="00504844"/>
    <w:rsid w:val="00504D44"/>
    <w:rsid w:val="00506197"/>
    <w:rsid w:val="00507C0B"/>
    <w:rsid w:val="00523C36"/>
    <w:rsid w:val="00531EBE"/>
    <w:rsid w:val="00532F0A"/>
    <w:rsid w:val="00540B53"/>
    <w:rsid w:val="00545A58"/>
    <w:rsid w:val="005552A7"/>
    <w:rsid w:val="00555BAC"/>
    <w:rsid w:val="005561E0"/>
    <w:rsid w:val="00556214"/>
    <w:rsid w:val="005620F4"/>
    <w:rsid w:val="00567096"/>
    <w:rsid w:val="005671A8"/>
    <w:rsid w:val="00582B15"/>
    <w:rsid w:val="0058663F"/>
    <w:rsid w:val="00587932"/>
    <w:rsid w:val="00587B76"/>
    <w:rsid w:val="0059083D"/>
    <w:rsid w:val="00593FF1"/>
    <w:rsid w:val="00595F72"/>
    <w:rsid w:val="0059753E"/>
    <w:rsid w:val="005A26EA"/>
    <w:rsid w:val="005A64C7"/>
    <w:rsid w:val="005A7D45"/>
    <w:rsid w:val="005A7FF6"/>
    <w:rsid w:val="005B1B0A"/>
    <w:rsid w:val="005B2F37"/>
    <w:rsid w:val="005B3665"/>
    <w:rsid w:val="005B6E62"/>
    <w:rsid w:val="005B6F72"/>
    <w:rsid w:val="005C18CC"/>
    <w:rsid w:val="005C1B18"/>
    <w:rsid w:val="005C30ED"/>
    <w:rsid w:val="005D2B5D"/>
    <w:rsid w:val="005E0A34"/>
    <w:rsid w:val="005E1958"/>
    <w:rsid w:val="005E1A53"/>
    <w:rsid w:val="005E1CDA"/>
    <w:rsid w:val="005E6B78"/>
    <w:rsid w:val="005F09F1"/>
    <w:rsid w:val="005F39FD"/>
    <w:rsid w:val="005F527A"/>
    <w:rsid w:val="005F55BB"/>
    <w:rsid w:val="00600572"/>
    <w:rsid w:val="00600D46"/>
    <w:rsid w:val="00601345"/>
    <w:rsid w:val="0060276F"/>
    <w:rsid w:val="00603154"/>
    <w:rsid w:val="00603ED9"/>
    <w:rsid w:val="00604901"/>
    <w:rsid w:val="00604EAF"/>
    <w:rsid w:val="0060636C"/>
    <w:rsid w:val="00617307"/>
    <w:rsid w:val="00620F41"/>
    <w:rsid w:val="00624C63"/>
    <w:rsid w:val="0062784B"/>
    <w:rsid w:val="00627B27"/>
    <w:rsid w:val="0063067A"/>
    <w:rsid w:val="00634FF2"/>
    <w:rsid w:val="00636138"/>
    <w:rsid w:val="006363F6"/>
    <w:rsid w:val="006370E7"/>
    <w:rsid w:val="006412C2"/>
    <w:rsid w:val="006436B1"/>
    <w:rsid w:val="006448B3"/>
    <w:rsid w:val="00645C4F"/>
    <w:rsid w:val="006500EB"/>
    <w:rsid w:val="00651492"/>
    <w:rsid w:val="00651D43"/>
    <w:rsid w:val="0065307E"/>
    <w:rsid w:val="006531C5"/>
    <w:rsid w:val="00662997"/>
    <w:rsid w:val="006640B4"/>
    <w:rsid w:val="006740E2"/>
    <w:rsid w:val="0068220B"/>
    <w:rsid w:val="00682BC2"/>
    <w:rsid w:val="00690FE8"/>
    <w:rsid w:val="00696D34"/>
    <w:rsid w:val="00697CCA"/>
    <w:rsid w:val="006A03F0"/>
    <w:rsid w:val="006A138E"/>
    <w:rsid w:val="006A164F"/>
    <w:rsid w:val="006A7272"/>
    <w:rsid w:val="006B29C3"/>
    <w:rsid w:val="006B3982"/>
    <w:rsid w:val="006B41A9"/>
    <w:rsid w:val="006B449C"/>
    <w:rsid w:val="006B5449"/>
    <w:rsid w:val="006B5B77"/>
    <w:rsid w:val="006B7956"/>
    <w:rsid w:val="006B7F1B"/>
    <w:rsid w:val="006C3355"/>
    <w:rsid w:val="006C69D8"/>
    <w:rsid w:val="006C7CDF"/>
    <w:rsid w:val="006D49F3"/>
    <w:rsid w:val="006D5233"/>
    <w:rsid w:val="006E64FA"/>
    <w:rsid w:val="006F0235"/>
    <w:rsid w:val="006F0E81"/>
    <w:rsid w:val="006F2B74"/>
    <w:rsid w:val="006F3997"/>
    <w:rsid w:val="00702C51"/>
    <w:rsid w:val="00720E51"/>
    <w:rsid w:val="00722D00"/>
    <w:rsid w:val="00730654"/>
    <w:rsid w:val="00730C2C"/>
    <w:rsid w:val="007414A8"/>
    <w:rsid w:val="00744B06"/>
    <w:rsid w:val="00747068"/>
    <w:rsid w:val="00747A4D"/>
    <w:rsid w:val="00752618"/>
    <w:rsid w:val="0075743C"/>
    <w:rsid w:val="0078132C"/>
    <w:rsid w:val="0078233A"/>
    <w:rsid w:val="00782917"/>
    <w:rsid w:val="00791196"/>
    <w:rsid w:val="0079680D"/>
    <w:rsid w:val="007A05C7"/>
    <w:rsid w:val="007A138F"/>
    <w:rsid w:val="007A2029"/>
    <w:rsid w:val="007A28FE"/>
    <w:rsid w:val="007A3E60"/>
    <w:rsid w:val="007A5BA8"/>
    <w:rsid w:val="007B2720"/>
    <w:rsid w:val="007B53F2"/>
    <w:rsid w:val="007B5E5B"/>
    <w:rsid w:val="007B78DE"/>
    <w:rsid w:val="007B7B0E"/>
    <w:rsid w:val="007C4E71"/>
    <w:rsid w:val="007D192F"/>
    <w:rsid w:val="007D205C"/>
    <w:rsid w:val="007D3EC8"/>
    <w:rsid w:val="007D65B4"/>
    <w:rsid w:val="007E09FD"/>
    <w:rsid w:val="007E431F"/>
    <w:rsid w:val="007E66DF"/>
    <w:rsid w:val="007E750B"/>
    <w:rsid w:val="007F03EA"/>
    <w:rsid w:val="007F20AD"/>
    <w:rsid w:val="007F5C42"/>
    <w:rsid w:val="00800CA6"/>
    <w:rsid w:val="0080136A"/>
    <w:rsid w:val="0080138C"/>
    <w:rsid w:val="00805517"/>
    <w:rsid w:val="00820FF8"/>
    <w:rsid w:val="008372F7"/>
    <w:rsid w:val="008374D8"/>
    <w:rsid w:val="00842C75"/>
    <w:rsid w:val="00843630"/>
    <w:rsid w:val="00844E44"/>
    <w:rsid w:val="008453D9"/>
    <w:rsid w:val="00846DC1"/>
    <w:rsid w:val="00854AAA"/>
    <w:rsid w:val="008576CC"/>
    <w:rsid w:val="00860BDF"/>
    <w:rsid w:val="008622FE"/>
    <w:rsid w:val="0086447B"/>
    <w:rsid w:val="008727EB"/>
    <w:rsid w:val="00874C2A"/>
    <w:rsid w:val="0087751F"/>
    <w:rsid w:val="00880A95"/>
    <w:rsid w:val="00880D4A"/>
    <w:rsid w:val="00880F92"/>
    <w:rsid w:val="00886ECC"/>
    <w:rsid w:val="00887128"/>
    <w:rsid w:val="00890498"/>
    <w:rsid w:val="00891728"/>
    <w:rsid w:val="00896C8A"/>
    <w:rsid w:val="00897C56"/>
    <w:rsid w:val="008A3C4F"/>
    <w:rsid w:val="008A4BE7"/>
    <w:rsid w:val="008B003A"/>
    <w:rsid w:val="008B2474"/>
    <w:rsid w:val="008C0649"/>
    <w:rsid w:val="008C0832"/>
    <w:rsid w:val="008C3CAA"/>
    <w:rsid w:val="008C4D17"/>
    <w:rsid w:val="008D1D32"/>
    <w:rsid w:val="008D2C75"/>
    <w:rsid w:val="008D3A8F"/>
    <w:rsid w:val="008D64A3"/>
    <w:rsid w:val="008E4D4B"/>
    <w:rsid w:val="008E5739"/>
    <w:rsid w:val="008F050F"/>
    <w:rsid w:val="008F0BC3"/>
    <w:rsid w:val="008F1544"/>
    <w:rsid w:val="008F27F3"/>
    <w:rsid w:val="008F5616"/>
    <w:rsid w:val="008F5E71"/>
    <w:rsid w:val="008F68E2"/>
    <w:rsid w:val="008F74D5"/>
    <w:rsid w:val="009003FF"/>
    <w:rsid w:val="00900B19"/>
    <w:rsid w:val="00911BAF"/>
    <w:rsid w:val="00913122"/>
    <w:rsid w:val="0091393F"/>
    <w:rsid w:val="0093379A"/>
    <w:rsid w:val="00933DD4"/>
    <w:rsid w:val="00935809"/>
    <w:rsid w:val="0094159E"/>
    <w:rsid w:val="00943197"/>
    <w:rsid w:val="009462E1"/>
    <w:rsid w:val="00954F8F"/>
    <w:rsid w:val="0095636C"/>
    <w:rsid w:val="00961448"/>
    <w:rsid w:val="009622C2"/>
    <w:rsid w:val="00964CB1"/>
    <w:rsid w:val="00964DFF"/>
    <w:rsid w:val="0096593D"/>
    <w:rsid w:val="009661B3"/>
    <w:rsid w:val="009666EC"/>
    <w:rsid w:val="009677AC"/>
    <w:rsid w:val="00971A2D"/>
    <w:rsid w:val="00971E7B"/>
    <w:rsid w:val="00977C5C"/>
    <w:rsid w:val="00981F95"/>
    <w:rsid w:val="00983B8B"/>
    <w:rsid w:val="00986BEB"/>
    <w:rsid w:val="00986EE8"/>
    <w:rsid w:val="009959BB"/>
    <w:rsid w:val="009960DB"/>
    <w:rsid w:val="009A1EF7"/>
    <w:rsid w:val="009A4650"/>
    <w:rsid w:val="009A4A35"/>
    <w:rsid w:val="009B3E06"/>
    <w:rsid w:val="009B4DA2"/>
    <w:rsid w:val="009B551D"/>
    <w:rsid w:val="009B699E"/>
    <w:rsid w:val="009C0A37"/>
    <w:rsid w:val="009C48C4"/>
    <w:rsid w:val="009D0EC5"/>
    <w:rsid w:val="009D16DF"/>
    <w:rsid w:val="009D1B07"/>
    <w:rsid w:val="009D4254"/>
    <w:rsid w:val="009D4DD7"/>
    <w:rsid w:val="009D6225"/>
    <w:rsid w:val="009D66BB"/>
    <w:rsid w:val="009E117D"/>
    <w:rsid w:val="009E61AF"/>
    <w:rsid w:val="009F0653"/>
    <w:rsid w:val="009F1BC7"/>
    <w:rsid w:val="009F4293"/>
    <w:rsid w:val="009F66A8"/>
    <w:rsid w:val="00A0285D"/>
    <w:rsid w:val="00A04807"/>
    <w:rsid w:val="00A04A7C"/>
    <w:rsid w:val="00A05776"/>
    <w:rsid w:val="00A067B8"/>
    <w:rsid w:val="00A06C37"/>
    <w:rsid w:val="00A109D2"/>
    <w:rsid w:val="00A14E38"/>
    <w:rsid w:val="00A23D79"/>
    <w:rsid w:val="00A2464D"/>
    <w:rsid w:val="00A258D1"/>
    <w:rsid w:val="00A32693"/>
    <w:rsid w:val="00A36FA3"/>
    <w:rsid w:val="00A4142A"/>
    <w:rsid w:val="00A45E89"/>
    <w:rsid w:val="00A47962"/>
    <w:rsid w:val="00A54421"/>
    <w:rsid w:val="00A544CC"/>
    <w:rsid w:val="00A55CD4"/>
    <w:rsid w:val="00A633FF"/>
    <w:rsid w:val="00A64E7A"/>
    <w:rsid w:val="00A665C8"/>
    <w:rsid w:val="00A7081D"/>
    <w:rsid w:val="00A72AEB"/>
    <w:rsid w:val="00A758B4"/>
    <w:rsid w:val="00A833C2"/>
    <w:rsid w:val="00A849D9"/>
    <w:rsid w:val="00A85109"/>
    <w:rsid w:val="00A93958"/>
    <w:rsid w:val="00A95843"/>
    <w:rsid w:val="00AA450A"/>
    <w:rsid w:val="00AA4D0D"/>
    <w:rsid w:val="00AB0566"/>
    <w:rsid w:val="00AB2CCC"/>
    <w:rsid w:val="00AB391B"/>
    <w:rsid w:val="00AB4798"/>
    <w:rsid w:val="00AC19EB"/>
    <w:rsid w:val="00AC36D3"/>
    <w:rsid w:val="00AC5419"/>
    <w:rsid w:val="00AD346F"/>
    <w:rsid w:val="00AE1D96"/>
    <w:rsid w:val="00AE4332"/>
    <w:rsid w:val="00AE785B"/>
    <w:rsid w:val="00B00D9E"/>
    <w:rsid w:val="00B01EC3"/>
    <w:rsid w:val="00B02F67"/>
    <w:rsid w:val="00B10555"/>
    <w:rsid w:val="00B17FDE"/>
    <w:rsid w:val="00B21D22"/>
    <w:rsid w:val="00B23DB4"/>
    <w:rsid w:val="00B30BAF"/>
    <w:rsid w:val="00B32423"/>
    <w:rsid w:val="00B36F21"/>
    <w:rsid w:val="00B37ED4"/>
    <w:rsid w:val="00B42B38"/>
    <w:rsid w:val="00B43D5A"/>
    <w:rsid w:val="00B45253"/>
    <w:rsid w:val="00B51435"/>
    <w:rsid w:val="00B539B5"/>
    <w:rsid w:val="00B54434"/>
    <w:rsid w:val="00B54F81"/>
    <w:rsid w:val="00B56F04"/>
    <w:rsid w:val="00B60284"/>
    <w:rsid w:val="00B62E5B"/>
    <w:rsid w:val="00B716EF"/>
    <w:rsid w:val="00B74D98"/>
    <w:rsid w:val="00B80C32"/>
    <w:rsid w:val="00B91224"/>
    <w:rsid w:val="00B9133F"/>
    <w:rsid w:val="00B915AD"/>
    <w:rsid w:val="00B9388A"/>
    <w:rsid w:val="00B95C02"/>
    <w:rsid w:val="00B9619A"/>
    <w:rsid w:val="00BA11D1"/>
    <w:rsid w:val="00BA2079"/>
    <w:rsid w:val="00BA29B8"/>
    <w:rsid w:val="00BA460F"/>
    <w:rsid w:val="00BA6553"/>
    <w:rsid w:val="00BA685B"/>
    <w:rsid w:val="00BA76D3"/>
    <w:rsid w:val="00BB2945"/>
    <w:rsid w:val="00BB5F7E"/>
    <w:rsid w:val="00BC1FC7"/>
    <w:rsid w:val="00BC38D2"/>
    <w:rsid w:val="00BC6FB0"/>
    <w:rsid w:val="00BD03F5"/>
    <w:rsid w:val="00BD199C"/>
    <w:rsid w:val="00BD2077"/>
    <w:rsid w:val="00BD58B1"/>
    <w:rsid w:val="00BE40AC"/>
    <w:rsid w:val="00BE77C2"/>
    <w:rsid w:val="00BF1DEF"/>
    <w:rsid w:val="00BF20BB"/>
    <w:rsid w:val="00BF30B5"/>
    <w:rsid w:val="00BF372A"/>
    <w:rsid w:val="00C01F77"/>
    <w:rsid w:val="00C057E5"/>
    <w:rsid w:val="00C078E1"/>
    <w:rsid w:val="00C1246B"/>
    <w:rsid w:val="00C141C1"/>
    <w:rsid w:val="00C23AFE"/>
    <w:rsid w:val="00C36125"/>
    <w:rsid w:val="00C364FE"/>
    <w:rsid w:val="00C3684A"/>
    <w:rsid w:val="00C37546"/>
    <w:rsid w:val="00C40340"/>
    <w:rsid w:val="00C41A1B"/>
    <w:rsid w:val="00C5219E"/>
    <w:rsid w:val="00C55AA5"/>
    <w:rsid w:val="00C571F2"/>
    <w:rsid w:val="00C61C9B"/>
    <w:rsid w:val="00C641DA"/>
    <w:rsid w:val="00C6565E"/>
    <w:rsid w:val="00C65C64"/>
    <w:rsid w:val="00C677F6"/>
    <w:rsid w:val="00C7762F"/>
    <w:rsid w:val="00C81D5B"/>
    <w:rsid w:val="00C85F25"/>
    <w:rsid w:val="00C861F1"/>
    <w:rsid w:val="00C87D80"/>
    <w:rsid w:val="00C9438A"/>
    <w:rsid w:val="00CA33EC"/>
    <w:rsid w:val="00CA78DD"/>
    <w:rsid w:val="00CB1595"/>
    <w:rsid w:val="00CB6909"/>
    <w:rsid w:val="00CC0317"/>
    <w:rsid w:val="00CC5B8D"/>
    <w:rsid w:val="00CC759E"/>
    <w:rsid w:val="00CD0B4E"/>
    <w:rsid w:val="00CD1838"/>
    <w:rsid w:val="00CD2F72"/>
    <w:rsid w:val="00CD3164"/>
    <w:rsid w:val="00CD7BEE"/>
    <w:rsid w:val="00CF0E5A"/>
    <w:rsid w:val="00CF3B18"/>
    <w:rsid w:val="00CF55D2"/>
    <w:rsid w:val="00CF5938"/>
    <w:rsid w:val="00CF6456"/>
    <w:rsid w:val="00CF7B57"/>
    <w:rsid w:val="00CF7DAD"/>
    <w:rsid w:val="00D03A83"/>
    <w:rsid w:val="00D1037F"/>
    <w:rsid w:val="00D106C7"/>
    <w:rsid w:val="00D11B12"/>
    <w:rsid w:val="00D1217C"/>
    <w:rsid w:val="00D15EAC"/>
    <w:rsid w:val="00D17131"/>
    <w:rsid w:val="00D179D8"/>
    <w:rsid w:val="00D21ACF"/>
    <w:rsid w:val="00D22551"/>
    <w:rsid w:val="00D25EB6"/>
    <w:rsid w:val="00D26139"/>
    <w:rsid w:val="00D26289"/>
    <w:rsid w:val="00D26E01"/>
    <w:rsid w:val="00D314E0"/>
    <w:rsid w:val="00D31EBB"/>
    <w:rsid w:val="00D37CF1"/>
    <w:rsid w:val="00D40EFF"/>
    <w:rsid w:val="00D423E9"/>
    <w:rsid w:val="00D44BA1"/>
    <w:rsid w:val="00D46D24"/>
    <w:rsid w:val="00D56189"/>
    <w:rsid w:val="00D569F3"/>
    <w:rsid w:val="00D61D06"/>
    <w:rsid w:val="00D62887"/>
    <w:rsid w:val="00D64504"/>
    <w:rsid w:val="00D66950"/>
    <w:rsid w:val="00D67527"/>
    <w:rsid w:val="00D712E8"/>
    <w:rsid w:val="00D7366A"/>
    <w:rsid w:val="00D74912"/>
    <w:rsid w:val="00D823B1"/>
    <w:rsid w:val="00D82735"/>
    <w:rsid w:val="00D85F3A"/>
    <w:rsid w:val="00D86894"/>
    <w:rsid w:val="00D923EE"/>
    <w:rsid w:val="00D95DDC"/>
    <w:rsid w:val="00DA0045"/>
    <w:rsid w:val="00DA3A70"/>
    <w:rsid w:val="00DA4341"/>
    <w:rsid w:val="00DB04D8"/>
    <w:rsid w:val="00DC2700"/>
    <w:rsid w:val="00DC3200"/>
    <w:rsid w:val="00DC55F9"/>
    <w:rsid w:val="00DC7F4C"/>
    <w:rsid w:val="00DD2213"/>
    <w:rsid w:val="00DD369C"/>
    <w:rsid w:val="00DD38AA"/>
    <w:rsid w:val="00DE6B33"/>
    <w:rsid w:val="00DF5CF9"/>
    <w:rsid w:val="00DF73B5"/>
    <w:rsid w:val="00DF7621"/>
    <w:rsid w:val="00E03641"/>
    <w:rsid w:val="00E043C9"/>
    <w:rsid w:val="00E052B8"/>
    <w:rsid w:val="00E07CA5"/>
    <w:rsid w:val="00E115F2"/>
    <w:rsid w:val="00E12E2C"/>
    <w:rsid w:val="00E13649"/>
    <w:rsid w:val="00E144C8"/>
    <w:rsid w:val="00E22BFB"/>
    <w:rsid w:val="00E238CA"/>
    <w:rsid w:val="00E2583A"/>
    <w:rsid w:val="00E27E7C"/>
    <w:rsid w:val="00E33A70"/>
    <w:rsid w:val="00E41335"/>
    <w:rsid w:val="00E426A8"/>
    <w:rsid w:val="00E62942"/>
    <w:rsid w:val="00E66D76"/>
    <w:rsid w:val="00E67397"/>
    <w:rsid w:val="00E71AA2"/>
    <w:rsid w:val="00E73401"/>
    <w:rsid w:val="00E77BB1"/>
    <w:rsid w:val="00E80075"/>
    <w:rsid w:val="00E80C1E"/>
    <w:rsid w:val="00E83E96"/>
    <w:rsid w:val="00E852FD"/>
    <w:rsid w:val="00E904A0"/>
    <w:rsid w:val="00E9522D"/>
    <w:rsid w:val="00E95CC6"/>
    <w:rsid w:val="00E963B6"/>
    <w:rsid w:val="00EA0A20"/>
    <w:rsid w:val="00EA24FA"/>
    <w:rsid w:val="00EA2C09"/>
    <w:rsid w:val="00EA471D"/>
    <w:rsid w:val="00EA73E3"/>
    <w:rsid w:val="00EB1CF4"/>
    <w:rsid w:val="00EB2C8E"/>
    <w:rsid w:val="00EB3BEA"/>
    <w:rsid w:val="00EB41A0"/>
    <w:rsid w:val="00EB4B58"/>
    <w:rsid w:val="00EC10D0"/>
    <w:rsid w:val="00EC53AE"/>
    <w:rsid w:val="00EC6590"/>
    <w:rsid w:val="00ED2473"/>
    <w:rsid w:val="00ED70BA"/>
    <w:rsid w:val="00EE2501"/>
    <w:rsid w:val="00EE3638"/>
    <w:rsid w:val="00EF47FC"/>
    <w:rsid w:val="00F0209A"/>
    <w:rsid w:val="00F06AE2"/>
    <w:rsid w:val="00F251F0"/>
    <w:rsid w:val="00F27219"/>
    <w:rsid w:val="00F315A0"/>
    <w:rsid w:val="00F335FA"/>
    <w:rsid w:val="00F338B7"/>
    <w:rsid w:val="00F52467"/>
    <w:rsid w:val="00F528C1"/>
    <w:rsid w:val="00F55284"/>
    <w:rsid w:val="00F56D04"/>
    <w:rsid w:val="00F56D37"/>
    <w:rsid w:val="00F57900"/>
    <w:rsid w:val="00F623C6"/>
    <w:rsid w:val="00F62816"/>
    <w:rsid w:val="00F741DA"/>
    <w:rsid w:val="00F746A8"/>
    <w:rsid w:val="00F80C28"/>
    <w:rsid w:val="00F832D0"/>
    <w:rsid w:val="00F83FA2"/>
    <w:rsid w:val="00F90CC2"/>
    <w:rsid w:val="00F94055"/>
    <w:rsid w:val="00F95064"/>
    <w:rsid w:val="00FA5025"/>
    <w:rsid w:val="00FA53C9"/>
    <w:rsid w:val="00FA624D"/>
    <w:rsid w:val="00FA6869"/>
    <w:rsid w:val="00FB0486"/>
    <w:rsid w:val="00FB2968"/>
    <w:rsid w:val="00FC1BC3"/>
    <w:rsid w:val="00FC2718"/>
    <w:rsid w:val="00FC4B26"/>
    <w:rsid w:val="00FD6D68"/>
    <w:rsid w:val="00FF3EEA"/>
    <w:rsid w:val="00FF58D1"/>
    <w:rsid w:val="00FF6DE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3D216"/>
  <w15:chartTrackingRefBased/>
  <w15:docId w15:val="{5C268825-CB03-4D71-9342-B8E715A6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nhideWhenUsed/>
    <w:pPr>
      <w:spacing w:after="120"/>
      <w:ind w:firstLine="360"/>
    </w:pPr>
    <w:rPr>
      <w:sz w:val="20"/>
      <w:szCs w:val="20"/>
    </w:rPr>
  </w:style>
  <w:style w:type="character" w:customStyle="1" w:styleId="FootnoteTextChar">
    <w:name w:val="Footnote Text Char"/>
    <w:basedOn w:val="DefaultParagraphFont"/>
    <w:link w:val="FootnoteText"/>
    <w:rPr>
      <w:sz w:val="20"/>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left" w:pos="360"/>
        <w:tab w:val="right" w:leader="dot" w:pos="9288"/>
      </w:tabs>
      <w:spacing w:before="120" w:after="120"/>
      <w:ind w:left="1080" w:hanging="1080"/>
      <w:jc w:val="left"/>
    </w:pPr>
    <w:rPr>
      <w:noProof/>
    </w:rPr>
  </w:style>
  <w:style w:type="paragraph" w:styleId="TOC2">
    <w:name w:val="toc 2"/>
    <w:basedOn w:val="Normal"/>
    <w:next w:val="TOC3"/>
    <w:uiPriority w:val="39"/>
    <w:qFormat/>
    <w:pPr>
      <w:tabs>
        <w:tab w:val="left" w:pos="1080"/>
        <w:tab w:val="right" w:leader="dot" w:pos="9288"/>
      </w:tabs>
      <w:ind w:left="1080" w:right="720" w:hanging="720"/>
    </w:pPr>
    <w:rPr>
      <w:noProof/>
    </w:r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unhideWhenUsed/>
    <w:pPr>
      <w:tabs>
        <w:tab w:val="right" w:leader="dot" w:pos="9350"/>
      </w:tabs>
      <w:spacing w:before="120" w:after="120"/>
    </w:pPr>
    <w:rPr>
      <w:noProof/>
    </w:r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uiPriority w:val="99"/>
    <w:rPr>
      <w:vertAlign w:val="superscript"/>
    </w:rPr>
  </w:style>
  <w:style w:type="paragraph" w:customStyle="1" w:styleId="MacPacTrailer">
    <w:name w:val="MacPac Trailer"/>
    <w:rsid w:val="00D106C7"/>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customStyle="1" w:styleId="CoverPageDocumentTitle">
    <w:name w:val="Cover Page Document Title"/>
    <w:basedOn w:val="Normal"/>
    <w:uiPriority w:val="1"/>
    <w:qFormat/>
    <w:pPr>
      <w:spacing w:before="2400" w:after="2400"/>
      <w:jc w:val="center"/>
    </w:pPr>
    <w:rPr>
      <w:b/>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CoverPageI">
    <w:name w:val="TblTxt - Cover Page I"/>
    <w:basedOn w:val="Normal"/>
    <w:uiPriority w:val="1"/>
    <w:qFormat/>
    <w:pPr>
      <w:spacing w:before="240" w:after="240"/>
    </w:pPr>
    <w:rPr>
      <w:i/>
    </w:rPr>
  </w:style>
  <w:style w:type="paragraph" w:customStyle="1" w:styleId="CoverPageBodyText-LargeSpaceAfter">
    <w:name w:val="Cover Page Body Text - Large Space After"/>
    <w:basedOn w:val="Normal"/>
    <w:uiPriority w:val="1"/>
    <w:qFormat/>
    <w:pPr>
      <w:spacing w:after="720"/>
    </w:pPr>
  </w:style>
  <w:style w:type="paragraph" w:customStyle="1" w:styleId="PrelimNotesTitle-CIB">
    <w:name w:val="Prelim Notes Title - CIB"/>
    <w:basedOn w:val="Normal"/>
    <w:uiPriority w:val="1"/>
    <w:qFormat/>
    <w:pPr>
      <w:spacing w:after="360"/>
      <w:jc w:val="center"/>
    </w:pPr>
    <w:rPr>
      <w:b/>
      <w:i/>
      <w:szCs w:val="16"/>
    </w:rPr>
  </w:style>
  <w:style w:type="paragraph" w:customStyle="1" w:styleId="BodyText-I">
    <w:name w:val="Body Text - I"/>
    <w:basedOn w:val="Normal"/>
    <w:uiPriority w:val="1"/>
    <w:qFormat/>
    <w:pPr>
      <w:spacing w:after="240"/>
    </w:pPr>
    <w:rPr>
      <w:i/>
      <w:szCs w:val="16"/>
    </w:rPr>
  </w:style>
  <w:style w:type="paragraph" w:customStyle="1" w:styleId="TOCTitle-CU">
    <w:name w:val="TOC Title - CU"/>
    <w:basedOn w:val="Normal"/>
    <w:uiPriority w:val="1"/>
    <w:qFormat/>
    <w:pPr>
      <w:spacing w:after="360"/>
      <w:jc w:val="center"/>
    </w:pPr>
    <w:rPr>
      <w:szCs w:val="16"/>
      <w:u w:val="single"/>
    </w:rPr>
  </w:style>
  <w:style w:type="paragraph" w:customStyle="1" w:styleId="MainDocumentTitle-CB">
    <w:name w:val="Main Document Title - CB"/>
    <w:basedOn w:val="Normal"/>
    <w:uiPriority w:val="1"/>
    <w:qFormat/>
    <w:pPr>
      <w:spacing w:after="360"/>
      <w:jc w:val="center"/>
    </w:pPr>
    <w:rPr>
      <w:b/>
      <w:szCs w:val="20"/>
    </w:rPr>
  </w:style>
  <w:style w:type="paragraph" w:customStyle="1" w:styleId="BodyText-FLI-10">
    <w:name w:val="Body Text - FLI - 1.0&quot;"/>
    <w:basedOn w:val="Normal"/>
    <w:uiPriority w:val="1"/>
    <w:qFormat/>
    <w:pPr>
      <w:spacing w:after="240"/>
      <w:ind w:firstLine="1440"/>
    </w:pPr>
  </w:style>
  <w:style w:type="paragraph" w:customStyle="1" w:styleId="MainSub-Title-CBU">
    <w:name w:val="Main Sub-Title - CBU"/>
    <w:basedOn w:val="Normal"/>
    <w:uiPriority w:val="1"/>
    <w:qFormat/>
    <w:pPr>
      <w:spacing w:after="240"/>
      <w:jc w:val="center"/>
    </w:pPr>
    <w:rPr>
      <w:b/>
      <w:u w:val="single"/>
    </w:rPr>
  </w:style>
  <w:style w:type="paragraph" w:customStyle="1" w:styleId="StandardCont1">
    <w:name w:val="Standard Cont 1"/>
    <w:basedOn w:val="Normal"/>
    <w:link w:val="StandardCont1Char"/>
    <w:pPr>
      <w:spacing w:after="240"/>
    </w:pPr>
    <w:rPr>
      <w:rFonts w:eastAsia="Times New Roman" w:cs="Times New Roman"/>
      <w:szCs w:val="20"/>
    </w:rPr>
  </w:style>
  <w:style w:type="character" w:customStyle="1" w:styleId="StandardCont1Char">
    <w:name w:val="Standard Cont 1 Char"/>
    <w:basedOn w:val="DefaultParagraphFont"/>
    <w:link w:val="StandardCont1"/>
    <w:rPr>
      <w:rFonts w:eastAsia="Times New Roman" w:cs="Times New Roman"/>
      <w:szCs w:val="20"/>
    </w:rPr>
  </w:style>
  <w:style w:type="paragraph" w:customStyle="1" w:styleId="StandardCont2">
    <w:name w:val="Standard Cont 2"/>
    <w:basedOn w:val="StandardCont1"/>
    <w:link w:val="StandardCont2Char"/>
  </w:style>
  <w:style w:type="character" w:customStyle="1" w:styleId="StandardCont2Char">
    <w:name w:val="Standard Cont 2 Char"/>
    <w:basedOn w:val="DefaultParagraphFont"/>
    <w:link w:val="StandardCont2"/>
    <w:rPr>
      <w:rFonts w:eastAsia="Times New Roman" w:cs="Times New Roman"/>
      <w:szCs w:val="20"/>
    </w:rPr>
  </w:style>
  <w:style w:type="paragraph" w:customStyle="1" w:styleId="StandardCont3">
    <w:name w:val="Standard Cont 3"/>
    <w:basedOn w:val="StandardCont2"/>
    <w:link w:val="StandardCont3Char"/>
    <w:pPr>
      <w:ind w:left="1440"/>
    </w:pPr>
  </w:style>
  <w:style w:type="character" w:customStyle="1" w:styleId="StandardCont3Char">
    <w:name w:val="Standard Cont 3 Char"/>
    <w:basedOn w:val="DefaultParagraphFont"/>
    <w:link w:val="StandardCont3"/>
    <w:rPr>
      <w:rFonts w:eastAsia="Times New Roman" w:cs="Times New Roman"/>
      <w:szCs w:val="20"/>
    </w:rPr>
  </w:style>
  <w:style w:type="paragraph" w:customStyle="1" w:styleId="StandardCont4">
    <w:name w:val="Standard Cont 4"/>
    <w:basedOn w:val="StandardCont3"/>
    <w:link w:val="StandardCont4Char"/>
    <w:pPr>
      <w:ind w:left="2880"/>
    </w:pPr>
  </w:style>
  <w:style w:type="character" w:customStyle="1" w:styleId="StandardCont4Char">
    <w:name w:val="Standard Cont 4 Char"/>
    <w:basedOn w:val="DefaultParagraphFont"/>
    <w:link w:val="StandardCont4"/>
    <w:rPr>
      <w:rFonts w:eastAsia="Times New Roman" w:cs="Times New Roman"/>
      <w:szCs w:val="20"/>
    </w:rPr>
  </w:style>
  <w:style w:type="paragraph" w:customStyle="1" w:styleId="StandardCont5">
    <w:name w:val="Standard Cont 5"/>
    <w:basedOn w:val="StandardCont4"/>
    <w:link w:val="StandardCont5Char"/>
    <w:pPr>
      <w:ind w:left="3600"/>
    </w:pPr>
  </w:style>
  <w:style w:type="character" w:customStyle="1" w:styleId="StandardCont5Char">
    <w:name w:val="Standard Cont 5 Char"/>
    <w:basedOn w:val="DefaultParagraphFont"/>
    <w:link w:val="StandardCont5"/>
    <w:rPr>
      <w:rFonts w:eastAsia="Times New Roman" w:cs="Times New Roman"/>
      <w:szCs w:val="20"/>
    </w:rPr>
  </w:style>
  <w:style w:type="paragraph" w:customStyle="1" w:styleId="StandardCont6">
    <w:name w:val="Standard Cont 6"/>
    <w:basedOn w:val="StandardCont5"/>
    <w:link w:val="StandardCont6Char"/>
    <w:pPr>
      <w:ind w:left="4320"/>
    </w:pPr>
  </w:style>
  <w:style w:type="character" w:customStyle="1" w:styleId="StandardCont6Char">
    <w:name w:val="Standard Cont 6 Char"/>
    <w:basedOn w:val="DefaultParagraphFont"/>
    <w:link w:val="StandardCont6"/>
    <w:rPr>
      <w:rFonts w:eastAsia="Times New Roman" w:cs="Times New Roman"/>
      <w:szCs w:val="20"/>
    </w:rPr>
  </w:style>
  <w:style w:type="paragraph" w:customStyle="1" w:styleId="StandardCont7">
    <w:name w:val="Standard Cont 7"/>
    <w:basedOn w:val="StandardCont6"/>
    <w:link w:val="StandardCont7Char"/>
    <w:pPr>
      <w:ind w:left="5040"/>
    </w:pPr>
  </w:style>
  <w:style w:type="character" w:customStyle="1" w:styleId="StandardCont7Char">
    <w:name w:val="Standard Cont 7 Char"/>
    <w:basedOn w:val="DefaultParagraphFont"/>
    <w:link w:val="StandardCont7"/>
    <w:rPr>
      <w:rFonts w:eastAsia="Times New Roman" w:cs="Times New Roman"/>
      <w:szCs w:val="20"/>
    </w:rPr>
  </w:style>
  <w:style w:type="paragraph" w:customStyle="1" w:styleId="StandardCont8">
    <w:name w:val="Standard Cont 8"/>
    <w:basedOn w:val="StandardCont7"/>
    <w:link w:val="StandardCont8Char"/>
    <w:pPr>
      <w:ind w:left="5760"/>
    </w:pPr>
  </w:style>
  <w:style w:type="character" w:customStyle="1" w:styleId="StandardCont8Char">
    <w:name w:val="Standard Cont 8 Char"/>
    <w:basedOn w:val="DefaultParagraphFont"/>
    <w:link w:val="StandardCont8"/>
    <w:rPr>
      <w:rFonts w:eastAsia="Times New Roman" w:cs="Times New Roman"/>
      <w:szCs w:val="20"/>
    </w:rPr>
  </w:style>
  <w:style w:type="paragraph" w:customStyle="1" w:styleId="StandardCont9">
    <w:name w:val="Standard Cont 9"/>
    <w:basedOn w:val="StandardCont8"/>
    <w:link w:val="StandardCont9Char"/>
    <w:pPr>
      <w:ind w:left="6480"/>
    </w:pPr>
  </w:style>
  <w:style w:type="character" w:customStyle="1" w:styleId="StandardCont9Char">
    <w:name w:val="Standard Cont 9 Char"/>
    <w:basedOn w:val="DefaultParagraphFont"/>
    <w:link w:val="StandardCont9"/>
    <w:rPr>
      <w:rFonts w:eastAsia="Times New Roman" w:cs="Times New Roman"/>
      <w:szCs w:val="20"/>
    </w:rPr>
  </w:style>
  <w:style w:type="paragraph" w:customStyle="1" w:styleId="StandardL1">
    <w:name w:val="Standard_L1"/>
    <w:basedOn w:val="Normal"/>
    <w:link w:val="StandardL1Char"/>
    <w:pPr>
      <w:numPr>
        <w:numId w:val="4"/>
      </w:numPr>
      <w:spacing w:after="240"/>
      <w:outlineLvl w:val="0"/>
    </w:pPr>
    <w:rPr>
      <w:rFonts w:eastAsia="Times New Roman" w:cs="Times New Roman"/>
      <w:szCs w:val="20"/>
      <w:u w:val="single"/>
    </w:rPr>
  </w:style>
  <w:style w:type="character" w:customStyle="1" w:styleId="StandardL1Char">
    <w:name w:val="Standard_L1 Char"/>
    <w:basedOn w:val="DefaultParagraphFont"/>
    <w:link w:val="StandardL1"/>
    <w:rPr>
      <w:rFonts w:eastAsia="Times New Roman" w:cs="Times New Roman"/>
      <w:szCs w:val="20"/>
      <w:u w:val="single"/>
    </w:rPr>
  </w:style>
  <w:style w:type="paragraph" w:customStyle="1" w:styleId="StandardL2">
    <w:name w:val="Standard_L2"/>
    <w:basedOn w:val="StandardL1"/>
    <w:link w:val="StandardL2Char"/>
    <w:pPr>
      <w:keepNext/>
      <w:numPr>
        <w:ilvl w:val="1"/>
      </w:numPr>
      <w:outlineLvl w:val="1"/>
    </w:pPr>
  </w:style>
  <w:style w:type="character" w:customStyle="1" w:styleId="StandardL2Char">
    <w:name w:val="Standard_L2 Char"/>
    <w:basedOn w:val="DefaultParagraphFont"/>
    <w:link w:val="StandardL2"/>
    <w:rPr>
      <w:rFonts w:eastAsia="Times New Roman" w:cs="Times New Roman"/>
      <w:szCs w:val="20"/>
      <w:u w:val="single"/>
    </w:rPr>
  </w:style>
  <w:style w:type="paragraph" w:customStyle="1" w:styleId="StandardL3">
    <w:name w:val="Standard_L3"/>
    <w:basedOn w:val="StandardL2"/>
    <w:link w:val="StandardL3Char"/>
    <w:pPr>
      <w:keepNext w:val="0"/>
      <w:numPr>
        <w:ilvl w:val="2"/>
      </w:numPr>
      <w:outlineLvl w:val="2"/>
    </w:pPr>
    <w:rPr>
      <w:u w:val="none"/>
    </w:rPr>
  </w:style>
  <w:style w:type="character" w:customStyle="1" w:styleId="StandardL3Char">
    <w:name w:val="Standard_L3 Char"/>
    <w:basedOn w:val="DefaultParagraphFont"/>
    <w:link w:val="StandardL3"/>
    <w:rPr>
      <w:rFonts w:eastAsia="Times New Roman" w:cs="Times New Roman"/>
      <w:szCs w:val="20"/>
    </w:rPr>
  </w:style>
  <w:style w:type="paragraph" w:customStyle="1" w:styleId="StandardL4">
    <w:name w:val="Standard_L4"/>
    <w:basedOn w:val="StandardL3"/>
    <w:link w:val="StandardL4Char"/>
    <w:pPr>
      <w:numPr>
        <w:ilvl w:val="3"/>
      </w:numPr>
      <w:outlineLvl w:val="3"/>
    </w:pPr>
  </w:style>
  <w:style w:type="character" w:customStyle="1" w:styleId="StandardL4Char">
    <w:name w:val="Standard_L4 Char"/>
    <w:basedOn w:val="DefaultParagraphFont"/>
    <w:link w:val="StandardL4"/>
    <w:rPr>
      <w:rFonts w:eastAsia="Times New Roman" w:cs="Times New Roman"/>
      <w:szCs w:val="20"/>
    </w:rPr>
  </w:style>
  <w:style w:type="paragraph" w:customStyle="1" w:styleId="StandardL5">
    <w:name w:val="Standard_L5"/>
    <w:basedOn w:val="StandardL4"/>
    <w:link w:val="StandardL5Char"/>
    <w:pPr>
      <w:numPr>
        <w:ilvl w:val="4"/>
      </w:numPr>
      <w:outlineLvl w:val="4"/>
    </w:pPr>
  </w:style>
  <w:style w:type="character" w:customStyle="1" w:styleId="StandardL5Char">
    <w:name w:val="Standard_L5 Char"/>
    <w:basedOn w:val="DefaultParagraphFont"/>
    <w:link w:val="StandardL5"/>
    <w:rPr>
      <w:rFonts w:eastAsia="Times New Roman" w:cs="Times New Roman"/>
      <w:szCs w:val="20"/>
    </w:rPr>
  </w:style>
  <w:style w:type="paragraph" w:customStyle="1" w:styleId="StandardL6">
    <w:name w:val="Standard_L6"/>
    <w:basedOn w:val="StandardL5"/>
    <w:link w:val="StandardL6Char"/>
    <w:pPr>
      <w:numPr>
        <w:ilvl w:val="5"/>
      </w:numPr>
      <w:outlineLvl w:val="5"/>
    </w:pPr>
  </w:style>
  <w:style w:type="character" w:customStyle="1" w:styleId="StandardL6Char">
    <w:name w:val="Standard_L6 Char"/>
    <w:basedOn w:val="DefaultParagraphFont"/>
    <w:link w:val="StandardL6"/>
    <w:rPr>
      <w:rFonts w:eastAsia="Times New Roman" w:cs="Times New Roman"/>
      <w:szCs w:val="20"/>
    </w:rPr>
  </w:style>
  <w:style w:type="paragraph" w:customStyle="1" w:styleId="StandardL7">
    <w:name w:val="Standard_L7"/>
    <w:basedOn w:val="StandardL6"/>
    <w:link w:val="StandardL7Char"/>
    <w:pPr>
      <w:numPr>
        <w:ilvl w:val="6"/>
      </w:numPr>
      <w:outlineLvl w:val="6"/>
    </w:pPr>
  </w:style>
  <w:style w:type="character" w:customStyle="1" w:styleId="StandardL7Char">
    <w:name w:val="Standard_L7 Char"/>
    <w:basedOn w:val="DefaultParagraphFont"/>
    <w:link w:val="StandardL7"/>
    <w:rPr>
      <w:rFonts w:eastAsia="Times New Roman" w:cs="Times New Roman"/>
      <w:szCs w:val="20"/>
    </w:rPr>
  </w:style>
  <w:style w:type="paragraph" w:customStyle="1" w:styleId="StandardL8">
    <w:name w:val="Standard_L8"/>
    <w:basedOn w:val="StandardL7"/>
    <w:link w:val="StandardL8Char"/>
    <w:pPr>
      <w:numPr>
        <w:ilvl w:val="7"/>
      </w:numPr>
      <w:outlineLvl w:val="7"/>
    </w:pPr>
  </w:style>
  <w:style w:type="character" w:customStyle="1" w:styleId="StandardL8Char">
    <w:name w:val="Standard_L8 Char"/>
    <w:basedOn w:val="DefaultParagraphFont"/>
    <w:link w:val="StandardL8"/>
    <w:rPr>
      <w:rFonts w:eastAsia="Times New Roman" w:cs="Times New Roman"/>
      <w:szCs w:val="20"/>
    </w:rPr>
  </w:style>
  <w:style w:type="paragraph" w:customStyle="1" w:styleId="StandardL9">
    <w:name w:val="Standard_L9"/>
    <w:basedOn w:val="StandardL8"/>
    <w:link w:val="StandardL9Char"/>
    <w:pPr>
      <w:numPr>
        <w:ilvl w:val="8"/>
      </w:numPr>
      <w:outlineLvl w:val="8"/>
    </w:pPr>
  </w:style>
  <w:style w:type="character" w:customStyle="1" w:styleId="StandardL9Char">
    <w:name w:val="Standard_L9 Char"/>
    <w:basedOn w:val="DefaultParagraphFont"/>
    <w:link w:val="StandardL9"/>
    <w:rPr>
      <w:rFonts w:eastAsia="Times New Roman" w:cs="Times New Roman"/>
      <w:szCs w:val="20"/>
    </w:rPr>
  </w:style>
  <w:style w:type="paragraph" w:customStyle="1" w:styleId="DefinitionCont1">
    <w:name w:val="Definition Cont 1"/>
    <w:basedOn w:val="Normal"/>
    <w:link w:val="DefinitionCont1Char"/>
    <w:pPr>
      <w:spacing w:after="240"/>
      <w:ind w:left="720"/>
    </w:pPr>
    <w:rPr>
      <w:rFonts w:eastAsia="Times New Roman" w:cs="Times New Roman"/>
      <w:szCs w:val="20"/>
    </w:rPr>
  </w:style>
  <w:style w:type="character" w:customStyle="1" w:styleId="DefinitionCont1Char">
    <w:name w:val="Definition Cont 1 Char"/>
    <w:basedOn w:val="DefaultParagraphFont"/>
    <w:link w:val="DefinitionCont1"/>
    <w:rPr>
      <w:rFonts w:eastAsia="Times New Roman" w:cs="Times New Roman"/>
      <w:szCs w:val="20"/>
    </w:rPr>
  </w:style>
  <w:style w:type="paragraph" w:customStyle="1" w:styleId="DefinitionCont2">
    <w:name w:val="Definition Cont 2"/>
    <w:basedOn w:val="DefinitionCont1"/>
    <w:link w:val="DefinitionCont2Char"/>
    <w:pPr>
      <w:ind w:left="1440"/>
    </w:pPr>
  </w:style>
  <w:style w:type="character" w:customStyle="1" w:styleId="DefinitionCont2Char">
    <w:name w:val="Definition Cont 2 Char"/>
    <w:basedOn w:val="DefaultParagraphFont"/>
    <w:link w:val="DefinitionCont2"/>
    <w:rPr>
      <w:rFonts w:eastAsia="Times New Roman" w:cs="Times New Roman"/>
      <w:szCs w:val="20"/>
    </w:rPr>
  </w:style>
  <w:style w:type="paragraph" w:customStyle="1" w:styleId="DefinitionCont3">
    <w:name w:val="Definition Cont 3"/>
    <w:basedOn w:val="DefinitionCont2"/>
    <w:link w:val="DefinitionCont3Char"/>
    <w:pPr>
      <w:ind w:left="2160"/>
    </w:pPr>
  </w:style>
  <w:style w:type="character" w:customStyle="1" w:styleId="DefinitionCont3Char">
    <w:name w:val="Definition Cont 3 Char"/>
    <w:basedOn w:val="DefaultParagraphFont"/>
    <w:link w:val="DefinitionCont3"/>
    <w:rPr>
      <w:rFonts w:eastAsia="Times New Roman" w:cs="Times New Roman"/>
      <w:szCs w:val="20"/>
    </w:rPr>
  </w:style>
  <w:style w:type="paragraph" w:customStyle="1" w:styleId="DefinitionCont4">
    <w:name w:val="Definition Cont 4"/>
    <w:basedOn w:val="DefinitionCont3"/>
    <w:link w:val="DefinitionCont4Char"/>
    <w:pPr>
      <w:ind w:left="2880"/>
    </w:pPr>
  </w:style>
  <w:style w:type="character" w:customStyle="1" w:styleId="DefinitionCont4Char">
    <w:name w:val="Definition Cont 4 Char"/>
    <w:basedOn w:val="DefaultParagraphFont"/>
    <w:link w:val="DefinitionCont4"/>
    <w:rPr>
      <w:rFonts w:eastAsia="Times New Roman" w:cs="Times New Roman"/>
      <w:szCs w:val="20"/>
    </w:rPr>
  </w:style>
  <w:style w:type="paragraph" w:customStyle="1" w:styleId="DefinitionCont5">
    <w:name w:val="Definition Cont 5"/>
    <w:basedOn w:val="DefinitionCont4"/>
    <w:link w:val="DefinitionCont5Char"/>
    <w:pPr>
      <w:ind w:left="3600"/>
    </w:pPr>
  </w:style>
  <w:style w:type="character" w:customStyle="1" w:styleId="DefinitionCont5Char">
    <w:name w:val="Definition Cont 5 Char"/>
    <w:basedOn w:val="DefaultParagraphFont"/>
    <w:link w:val="DefinitionCont5"/>
    <w:rPr>
      <w:rFonts w:eastAsia="Times New Roman" w:cs="Times New Roman"/>
      <w:szCs w:val="20"/>
    </w:rPr>
  </w:style>
  <w:style w:type="paragraph" w:customStyle="1" w:styleId="DefinitionCont6">
    <w:name w:val="Definition Cont 6"/>
    <w:basedOn w:val="DefinitionCont5"/>
    <w:link w:val="DefinitionCont6Char"/>
    <w:pPr>
      <w:ind w:left="4320"/>
    </w:pPr>
  </w:style>
  <w:style w:type="character" w:customStyle="1" w:styleId="DefinitionCont6Char">
    <w:name w:val="Definition Cont 6 Char"/>
    <w:basedOn w:val="DefaultParagraphFont"/>
    <w:link w:val="DefinitionCont6"/>
    <w:rPr>
      <w:rFonts w:eastAsia="Times New Roman" w:cs="Times New Roman"/>
      <w:szCs w:val="20"/>
    </w:rPr>
  </w:style>
  <w:style w:type="paragraph" w:customStyle="1" w:styleId="DefinitionCont7">
    <w:name w:val="Definition Cont 7"/>
    <w:basedOn w:val="DefinitionCont6"/>
    <w:link w:val="DefinitionCont7Char"/>
    <w:pPr>
      <w:ind w:left="5040"/>
    </w:pPr>
  </w:style>
  <w:style w:type="character" w:customStyle="1" w:styleId="DefinitionCont7Char">
    <w:name w:val="Definition Cont 7 Char"/>
    <w:basedOn w:val="DefaultParagraphFont"/>
    <w:link w:val="DefinitionCont7"/>
    <w:rPr>
      <w:rFonts w:eastAsia="Times New Roman" w:cs="Times New Roman"/>
      <w:szCs w:val="20"/>
    </w:rPr>
  </w:style>
  <w:style w:type="paragraph" w:customStyle="1" w:styleId="DefinitionCont8">
    <w:name w:val="Definition Cont 8"/>
    <w:basedOn w:val="DefinitionCont7"/>
    <w:link w:val="DefinitionCont8Char"/>
    <w:pPr>
      <w:ind w:left="5760"/>
    </w:pPr>
  </w:style>
  <w:style w:type="character" w:customStyle="1" w:styleId="DefinitionCont8Char">
    <w:name w:val="Definition Cont 8 Char"/>
    <w:basedOn w:val="DefaultParagraphFont"/>
    <w:link w:val="DefinitionCont8"/>
    <w:rPr>
      <w:rFonts w:eastAsia="Times New Roman" w:cs="Times New Roman"/>
      <w:szCs w:val="20"/>
    </w:rPr>
  </w:style>
  <w:style w:type="paragraph" w:customStyle="1" w:styleId="DefinitionCont9">
    <w:name w:val="Definition Cont 9"/>
    <w:basedOn w:val="DefinitionCont8"/>
    <w:link w:val="DefinitionCont9Char"/>
    <w:pPr>
      <w:ind w:left="6480"/>
    </w:pPr>
  </w:style>
  <w:style w:type="character" w:customStyle="1" w:styleId="DefinitionCont9Char">
    <w:name w:val="Definition Cont 9 Char"/>
    <w:basedOn w:val="DefaultParagraphFont"/>
    <w:link w:val="DefinitionCont9"/>
    <w:rPr>
      <w:rFonts w:eastAsia="Times New Roman" w:cs="Times New Roman"/>
      <w:szCs w:val="20"/>
    </w:rPr>
  </w:style>
  <w:style w:type="paragraph" w:customStyle="1" w:styleId="DefinitionL1">
    <w:name w:val="Definition_L1"/>
    <w:basedOn w:val="Normal"/>
    <w:link w:val="DefinitionL1Char"/>
    <w:pPr>
      <w:numPr>
        <w:numId w:val="5"/>
      </w:numPr>
      <w:spacing w:after="240"/>
      <w:outlineLvl w:val="0"/>
    </w:pPr>
    <w:rPr>
      <w:rFonts w:eastAsia="Times New Roman" w:cs="Times New Roman"/>
      <w:szCs w:val="20"/>
    </w:rPr>
  </w:style>
  <w:style w:type="character" w:customStyle="1" w:styleId="DefinitionL1Char">
    <w:name w:val="Definition_L1 Char"/>
    <w:basedOn w:val="DefaultParagraphFont"/>
    <w:link w:val="DefinitionL1"/>
    <w:rPr>
      <w:rFonts w:eastAsia="Times New Roman" w:cs="Times New Roman"/>
      <w:szCs w:val="20"/>
    </w:rPr>
  </w:style>
  <w:style w:type="paragraph" w:customStyle="1" w:styleId="DefinitionL2">
    <w:name w:val="Definition_L2"/>
    <w:basedOn w:val="DefinitionL1"/>
    <w:link w:val="DefinitionL2Char"/>
    <w:pPr>
      <w:numPr>
        <w:ilvl w:val="1"/>
      </w:numPr>
      <w:outlineLvl w:val="1"/>
    </w:pPr>
  </w:style>
  <w:style w:type="character" w:customStyle="1" w:styleId="DefinitionL2Char">
    <w:name w:val="Definition_L2 Char"/>
    <w:basedOn w:val="DefaultParagraphFont"/>
    <w:link w:val="DefinitionL2"/>
    <w:rPr>
      <w:rFonts w:eastAsia="Times New Roman" w:cs="Times New Roman"/>
      <w:szCs w:val="20"/>
    </w:rPr>
  </w:style>
  <w:style w:type="paragraph" w:customStyle="1" w:styleId="DefinitionL3">
    <w:name w:val="Definition_L3"/>
    <w:basedOn w:val="DefinitionL2"/>
    <w:link w:val="DefinitionL3Char"/>
    <w:pPr>
      <w:numPr>
        <w:ilvl w:val="2"/>
      </w:numPr>
      <w:outlineLvl w:val="2"/>
    </w:pPr>
  </w:style>
  <w:style w:type="character" w:customStyle="1" w:styleId="DefinitionL3Char">
    <w:name w:val="Definition_L3 Char"/>
    <w:basedOn w:val="DefaultParagraphFont"/>
    <w:link w:val="DefinitionL3"/>
    <w:rPr>
      <w:rFonts w:eastAsia="Times New Roman" w:cs="Times New Roman"/>
      <w:szCs w:val="20"/>
    </w:rPr>
  </w:style>
  <w:style w:type="paragraph" w:customStyle="1" w:styleId="DefinitionL4">
    <w:name w:val="Definition_L4"/>
    <w:basedOn w:val="DefinitionL3"/>
    <w:link w:val="DefinitionL4Char"/>
    <w:pPr>
      <w:numPr>
        <w:ilvl w:val="3"/>
      </w:numPr>
      <w:outlineLvl w:val="3"/>
    </w:pPr>
  </w:style>
  <w:style w:type="character" w:customStyle="1" w:styleId="DefinitionL4Char">
    <w:name w:val="Definition_L4 Char"/>
    <w:basedOn w:val="DefaultParagraphFont"/>
    <w:link w:val="DefinitionL4"/>
    <w:rPr>
      <w:rFonts w:eastAsia="Times New Roman" w:cs="Times New Roman"/>
      <w:szCs w:val="20"/>
    </w:rPr>
  </w:style>
  <w:style w:type="paragraph" w:customStyle="1" w:styleId="DefinitionL5">
    <w:name w:val="Definition_L5"/>
    <w:basedOn w:val="DefinitionL4"/>
    <w:link w:val="DefinitionL5Char"/>
    <w:pPr>
      <w:numPr>
        <w:ilvl w:val="4"/>
      </w:numPr>
      <w:outlineLvl w:val="4"/>
    </w:pPr>
  </w:style>
  <w:style w:type="character" w:customStyle="1" w:styleId="DefinitionL5Char">
    <w:name w:val="Definition_L5 Char"/>
    <w:basedOn w:val="DefaultParagraphFont"/>
    <w:link w:val="DefinitionL5"/>
    <w:rPr>
      <w:rFonts w:eastAsia="Times New Roman" w:cs="Times New Roman"/>
      <w:szCs w:val="20"/>
    </w:rPr>
  </w:style>
  <w:style w:type="paragraph" w:customStyle="1" w:styleId="DefinitionL6">
    <w:name w:val="Definition_L6"/>
    <w:basedOn w:val="DefinitionL5"/>
    <w:link w:val="DefinitionL6Char"/>
    <w:pPr>
      <w:numPr>
        <w:ilvl w:val="5"/>
      </w:numPr>
      <w:outlineLvl w:val="5"/>
    </w:pPr>
  </w:style>
  <w:style w:type="character" w:customStyle="1" w:styleId="DefinitionL6Char">
    <w:name w:val="Definition_L6 Char"/>
    <w:basedOn w:val="DefaultParagraphFont"/>
    <w:link w:val="DefinitionL6"/>
    <w:rPr>
      <w:rFonts w:eastAsia="Times New Roman" w:cs="Times New Roman"/>
      <w:szCs w:val="20"/>
    </w:rPr>
  </w:style>
  <w:style w:type="paragraph" w:customStyle="1" w:styleId="DefinitionL7">
    <w:name w:val="Definition_L7"/>
    <w:basedOn w:val="DefinitionL6"/>
    <w:link w:val="DefinitionL7Char"/>
    <w:pPr>
      <w:numPr>
        <w:ilvl w:val="6"/>
      </w:numPr>
      <w:outlineLvl w:val="6"/>
    </w:pPr>
  </w:style>
  <w:style w:type="character" w:customStyle="1" w:styleId="DefinitionL7Char">
    <w:name w:val="Definition_L7 Char"/>
    <w:basedOn w:val="DefaultParagraphFont"/>
    <w:link w:val="DefinitionL7"/>
    <w:rPr>
      <w:rFonts w:eastAsia="Times New Roman" w:cs="Times New Roman"/>
      <w:szCs w:val="20"/>
    </w:rPr>
  </w:style>
  <w:style w:type="paragraph" w:customStyle="1" w:styleId="DefinitionL8">
    <w:name w:val="Definition_L8"/>
    <w:basedOn w:val="DefinitionL7"/>
    <w:link w:val="DefinitionL8Char"/>
    <w:pPr>
      <w:numPr>
        <w:ilvl w:val="7"/>
      </w:numPr>
      <w:outlineLvl w:val="7"/>
    </w:pPr>
  </w:style>
  <w:style w:type="character" w:customStyle="1" w:styleId="DefinitionL8Char">
    <w:name w:val="Definition_L8 Char"/>
    <w:basedOn w:val="DefaultParagraphFont"/>
    <w:link w:val="DefinitionL8"/>
    <w:rPr>
      <w:rFonts w:eastAsia="Times New Roman" w:cs="Times New Roman"/>
      <w:szCs w:val="20"/>
    </w:rPr>
  </w:style>
  <w:style w:type="paragraph" w:customStyle="1" w:styleId="DefinitionL9">
    <w:name w:val="Definition_L9"/>
    <w:basedOn w:val="DefinitionL8"/>
    <w:link w:val="DefinitionL9Char"/>
    <w:pPr>
      <w:numPr>
        <w:ilvl w:val="8"/>
      </w:numPr>
      <w:outlineLvl w:val="8"/>
    </w:pPr>
  </w:style>
  <w:style w:type="character" w:customStyle="1" w:styleId="DefinitionL9Char">
    <w:name w:val="Definition_L9 Char"/>
    <w:basedOn w:val="DefaultParagraphFont"/>
    <w:link w:val="DefinitionL9"/>
    <w:rPr>
      <w:rFonts w:eastAsia="Times New Roman" w:cs="Times New Roman"/>
      <w:szCs w:val="20"/>
    </w:rPr>
  </w:style>
  <w:style w:type="paragraph" w:customStyle="1" w:styleId="Qutoe">
    <w:name w:val="Qutoe"/>
    <w:basedOn w:val="Normal"/>
    <w:pPr>
      <w:suppressAutoHyphens/>
      <w:ind w:left="720" w:right="720"/>
    </w:pPr>
    <w:rPr>
      <w:szCs w:val="16"/>
    </w:rPr>
  </w:style>
  <w:style w:type="paragraph" w:customStyle="1" w:styleId="RemainderofPageText-CBI">
    <w:name w:val="Remainder of Page Text - CBI"/>
    <w:basedOn w:val="Normal"/>
    <w:uiPriority w:val="1"/>
    <w:qFormat/>
    <w:pPr>
      <w:spacing w:before="360" w:after="120"/>
      <w:jc w:val="center"/>
    </w:pPr>
    <w:rPr>
      <w:b/>
      <w:i/>
    </w:rPr>
  </w:style>
  <w:style w:type="paragraph" w:customStyle="1" w:styleId="TblTxt-Basic">
    <w:name w:val="TblTxt - Basic"/>
    <w:basedOn w:val="Normal"/>
    <w:uiPriority w:val="1"/>
    <w:qFormat/>
    <w:pPr>
      <w:jc w:val="left"/>
    </w:pPr>
  </w:style>
  <w:style w:type="paragraph" w:customStyle="1" w:styleId="ScheduleCont1">
    <w:name w:val="Schedule Cont 1"/>
    <w:basedOn w:val="Normal"/>
    <w:link w:val="ScheduleCont1Char"/>
    <w:pPr>
      <w:spacing w:after="240"/>
      <w:ind w:left="720"/>
    </w:pPr>
    <w:rPr>
      <w:rFonts w:eastAsia="Times New Roman" w:cs="Times New Roman"/>
      <w:szCs w:val="20"/>
    </w:rPr>
  </w:style>
  <w:style w:type="character" w:customStyle="1" w:styleId="ScheduleCont1Char">
    <w:name w:val="Schedule Cont 1 Char"/>
    <w:basedOn w:val="DefaultParagraphFont"/>
    <w:link w:val="ScheduleCont1"/>
    <w:rPr>
      <w:rFonts w:eastAsia="Times New Roman" w:cs="Times New Roman"/>
      <w:szCs w:val="20"/>
    </w:rPr>
  </w:style>
  <w:style w:type="paragraph" w:customStyle="1" w:styleId="ScheduleCont2">
    <w:name w:val="Schedule Cont 2"/>
    <w:basedOn w:val="ScheduleCont1"/>
    <w:link w:val="ScheduleCont2Char"/>
    <w:pPr>
      <w:ind w:left="1440"/>
    </w:pPr>
  </w:style>
  <w:style w:type="character" w:customStyle="1" w:styleId="ScheduleCont2Char">
    <w:name w:val="Schedule Cont 2 Char"/>
    <w:basedOn w:val="DefaultParagraphFont"/>
    <w:link w:val="ScheduleCont2"/>
    <w:rPr>
      <w:rFonts w:eastAsia="Times New Roman" w:cs="Times New Roman"/>
      <w:szCs w:val="20"/>
    </w:rPr>
  </w:style>
  <w:style w:type="paragraph" w:customStyle="1" w:styleId="ScheduleCont3">
    <w:name w:val="Schedule Cont 3"/>
    <w:basedOn w:val="ScheduleCont2"/>
    <w:link w:val="ScheduleCont3Char"/>
    <w:pPr>
      <w:ind w:left="2160"/>
    </w:pPr>
  </w:style>
  <w:style w:type="character" w:customStyle="1" w:styleId="ScheduleCont3Char">
    <w:name w:val="Schedule Cont 3 Char"/>
    <w:basedOn w:val="DefaultParagraphFont"/>
    <w:link w:val="ScheduleCont3"/>
    <w:rPr>
      <w:rFonts w:eastAsia="Times New Roman" w:cs="Times New Roman"/>
      <w:szCs w:val="20"/>
    </w:rPr>
  </w:style>
  <w:style w:type="paragraph" w:customStyle="1" w:styleId="ScheduleCont4">
    <w:name w:val="Schedule Cont 4"/>
    <w:basedOn w:val="ScheduleCont3"/>
    <w:link w:val="ScheduleCont4Char"/>
    <w:pPr>
      <w:ind w:left="2880"/>
    </w:pPr>
  </w:style>
  <w:style w:type="character" w:customStyle="1" w:styleId="ScheduleCont4Char">
    <w:name w:val="Schedule Cont 4 Char"/>
    <w:basedOn w:val="DefaultParagraphFont"/>
    <w:link w:val="ScheduleCont4"/>
    <w:rPr>
      <w:rFonts w:eastAsia="Times New Roman" w:cs="Times New Roman"/>
      <w:szCs w:val="20"/>
    </w:rPr>
  </w:style>
  <w:style w:type="paragraph" w:customStyle="1" w:styleId="ScheduleCont5">
    <w:name w:val="Schedule Cont 5"/>
    <w:basedOn w:val="ScheduleCont4"/>
    <w:link w:val="ScheduleCont5Char"/>
    <w:pPr>
      <w:ind w:left="3600"/>
    </w:pPr>
  </w:style>
  <w:style w:type="character" w:customStyle="1" w:styleId="ScheduleCont5Char">
    <w:name w:val="Schedule Cont 5 Char"/>
    <w:basedOn w:val="DefaultParagraphFont"/>
    <w:link w:val="ScheduleCont5"/>
    <w:rPr>
      <w:rFonts w:eastAsia="Times New Roman" w:cs="Times New Roman"/>
      <w:szCs w:val="20"/>
    </w:rPr>
  </w:style>
  <w:style w:type="paragraph" w:customStyle="1" w:styleId="ScheduleCont6">
    <w:name w:val="Schedule Cont 6"/>
    <w:basedOn w:val="ScheduleCont5"/>
    <w:link w:val="ScheduleCont6Char"/>
    <w:pPr>
      <w:ind w:left="4320"/>
    </w:pPr>
  </w:style>
  <w:style w:type="character" w:customStyle="1" w:styleId="ScheduleCont6Char">
    <w:name w:val="Schedule Cont 6 Char"/>
    <w:basedOn w:val="DefaultParagraphFont"/>
    <w:link w:val="ScheduleCont6"/>
    <w:rPr>
      <w:rFonts w:eastAsia="Times New Roman" w:cs="Times New Roman"/>
      <w:szCs w:val="20"/>
    </w:rPr>
  </w:style>
  <w:style w:type="paragraph" w:customStyle="1" w:styleId="ScheduleCont7">
    <w:name w:val="Schedule Cont 7"/>
    <w:basedOn w:val="ScheduleCont6"/>
    <w:link w:val="ScheduleCont7Char"/>
    <w:pPr>
      <w:ind w:left="5040"/>
    </w:pPr>
  </w:style>
  <w:style w:type="character" w:customStyle="1" w:styleId="ScheduleCont7Char">
    <w:name w:val="Schedule Cont 7 Char"/>
    <w:basedOn w:val="DefaultParagraphFont"/>
    <w:link w:val="ScheduleCont7"/>
    <w:rPr>
      <w:rFonts w:eastAsia="Times New Roman" w:cs="Times New Roman"/>
      <w:szCs w:val="20"/>
    </w:rPr>
  </w:style>
  <w:style w:type="paragraph" w:customStyle="1" w:styleId="ScheduleCont8">
    <w:name w:val="Schedule Cont 8"/>
    <w:basedOn w:val="ScheduleCont7"/>
    <w:link w:val="ScheduleCont8Char"/>
    <w:pPr>
      <w:ind w:left="5760"/>
    </w:pPr>
  </w:style>
  <w:style w:type="character" w:customStyle="1" w:styleId="ScheduleCont8Char">
    <w:name w:val="Schedule Cont 8 Char"/>
    <w:basedOn w:val="DefaultParagraphFont"/>
    <w:link w:val="ScheduleCont8"/>
    <w:rPr>
      <w:rFonts w:eastAsia="Times New Roman" w:cs="Times New Roman"/>
      <w:szCs w:val="20"/>
    </w:rPr>
  </w:style>
  <w:style w:type="paragraph" w:customStyle="1" w:styleId="ScheduleCont9">
    <w:name w:val="Schedule Cont 9"/>
    <w:basedOn w:val="ScheduleCont8"/>
    <w:link w:val="ScheduleCont9Char"/>
    <w:pPr>
      <w:ind w:left="6480"/>
    </w:pPr>
  </w:style>
  <w:style w:type="character" w:customStyle="1" w:styleId="ScheduleCont9Char">
    <w:name w:val="Schedule Cont 9 Char"/>
    <w:basedOn w:val="DefaultParagraphFont"/>
    <w:link w:val="ScheduleCont9"/>
    <w:rPr>
      <w:rFonts w:eastAsia="Times New Roman" w:cs="Times New Roman"/>
      <w:szCs w:val="20"/>
    </w:rPr>
  </w:style>
  <w:style w:type="paragraph" w:customStyle="1" w:styleId="ScheduleL1">
    <w:name w:val="Schedule_L1"/>
    <w:basedOn w:val="Normal"/>
    <w:link w:val="ScheduleL1Char"/>
    <w:pPr>
      <w:numPr>
        <w:numId w:val="6"/>
      </w:numPr>
      <w:spacing w:after="360"/>
      <w:jc w:val="center"/>
      <w:outlineLvl w:val="0"/>
    </w:pPr>
    <w:rPr>
      <w:rFonts w:eastAsia="Times New Roman" w:cs="Times New Roman"/>
      <w:b/>
      <w:caps/>
      <w:szCs w:val="20"/>
    </w:rPr>
  </w:style>
  <w:style w:type="character" w:customStyle="1" w:styleId="ScheduleL1Char">
    <w:name w:val="Schedule_L1 Char"/>
    <w:basedOn w:val="DefaultParagraphFont"/>
    <w:link w:val="ScheduleL1"/>
    <w:rPr>
      <w:rFonts w:eastAsia="Times New Roman" w:cs="Times New Roman"/>
      <w:b/>
      <w:caps/>
      <w:szCs w:val="20"/>
    </w:rPr>
  </w:style>
  <w:style w:type="paragraph" w:customStyle="1" w:styleId="ScheduleL2">
    <w:name w:val="Schedule_L2"/>
    <w:basedOn w:val="ScheduleL1"/>
    <w:link w:val="ScheduleL2Char"/>
    <w:pPr>
      <w:numPr>
        <w:ilvl w:val="1"/>
      </w:numPr>
      <w:spacing w:after="240"/>
      <w:jc w:val="both"/>
      <w:outlineLvl w:val="1"/>
    </w:pPr>
    <w:rPr>
      <w:b w:val="0"/>
      <w:caps w:val="0"/>
    </w:rPr>
  </w:style>
  <w:style w:type="character" w:customStyle="1" w:styleId="ScheduleL2Char">
    <w:name w:val="Schedule_L2 Char"/>
    <w:basedOn w:val="DefaultParagraphFont"/>
    <w:link w:val="ScheduleL2"/>
    <w:rPr>
      <w:rFonts w:eastAsia="Times New Roman" w:cs="Times New Roman"/>
      <w:szCs w:val="20"/>
    </w:rPr>
  </w:style>
  <w:style w:type="paragraph" w:customStyle="1" w:styleId="ScheduleL3">
    <w:name w:val="Schedule_L3"/>
    <w:basedOn w:val="ScheduleL2"/>
    <w:link w:val="ScheduleL3Char"/>
    <w:pPr>
      <w:numPr>
        <w:ilvl w:val="2"/>
      </w:numPr>
      <w:outlineLvl w:val="2"/>
    </w:pPr>
  </w:style>
  <w:style w:type="character" w:customStyle="1" w:styleId="ScheduleL3Char">
    <w:name w:val="Schedule_L3 Char"/>
    <w:basedOn w:val="DefaultParagraphFont"/>
    <w:link w:val="ScheduleL3"/>
    <w:rPr>
      <w:rFonts w:eastAsia="Times New Roman" w:cs="Times New Roman"/>
      <w:szCs w:val="20"/>
    </w:rPr>
  </w:style>
  <w:style w:type="paragraph" w:customStyle="1" w:styleId="ScheduleL4">
    <w:name w:val="Schedule_L4"/>
    <w:basedOn w:val="ScheduleL3"/>
    <w:link w:val="ScheduleL4Char"/>
    <w:pPr>
      <w:numPr>
        <w:ilvl w:val="3"/>
      </w:numPr>
      <w:outlineLvl w:val="3"/>
    </w:pPr>
  </w:style>
  <w:style w:type="character" w:customStyle="1" w:styleId="ScheduleL4Char">
    <w:name w:val="Schedule_L4 Char"/>
    <w:basedOn w:val="DefaultParagraphFont"/>
    <w:link w:val="ScheduleL4"/>
    <w:rPr>
      <w:rFonts w:eastAsia="Times New Roman" w:cs="Times New Roman"/>
      <w:szCs w:val="20"/>
    </w:rPr>
  </w:style>
  <w:style w:type="paragraph" w:customStyle="1" w:styleId="ScheduleL5">
    <w:name w:val="Schedule_L5"/>
    <w:basedOn w:val="ScheduleL4"/>
    <w:link w:val="ScheduleL5Char"/>
    <w:pPr>
      <w:numPr>
        <w:ilvl w:val="4"/>
      </w:numPr>
      <w:outlineLvl w:val="4"/>
    </w:pPr>
  </w:style>
  <w:style w:type="character" w:customStyle="1" w:styleId="ScheduleL5Char">
    <w:name w:val="Schedule_L5 Char"/>
    <w:basedOn w:val="DefaultParagraphFont"/>
    <w:link w:val="ScheduleL5"/>
    <w:rPr>
      <w:rFonts w:eastAsia="Times New Roman" w:cs="Times New Roman"/>
      <w:szCs w:val="20"/>
    </w:rPr>
  </w:style>
  <w:style w:type="paragraph" w:customStyle="1" w:styleId="ScheduleL6">
    <w:name w:val="Schedule_L6"/>
    <w:basedOn w:val="ScheduleL5"/>
    <w:link w:val="ScheduleL6Char"/>
    <w:pPr>
      <w:numPr>
        <w:ilvl w:val="5"/>
      </w:numPr>
      <w:outlineLvl w:val="5"/>
    </w:pPr>
  </w:style>
  <w:style w:type="character" w:customStyle="1" w:styleId="ScheduleL6Char">
    <w:name w:val="Schedule_L6 Char"/>
    <w:basedOn w:val="DefaultParagraphFont"/>
    <w:link w:val="ScheduleL6"/>
    <w:rPr>
      <w:rFonts w:eastAsia="Times New Roman" w:cs="Times New Roman"/>
      <w:szCs w:val="20"/>
    </w:rPr>
  </w:style>
  <w:style w:type="paragraph" w:customStyle="1" w:styleId="ScheduleL7">
    <w:name w:val="Schedule_L7"/>
    <w:basedOn w:val="ScheduleL6"/>
    <w:link w:val="ScheduleL7Char"/>
    <w:pPr>
      <w:numPr>
        <w:ilvl w:val="6"/>
      </w:numPr>
      <w:outlineLvl w:val="6"/>
    </w:pPr>
  </w:style>
  <w:style w:type="character" w:customStyle="1" w:styleId="ScheduleL7Char">
    <w:name w:val="Schedule_L7 Char"/>
    <w:basedOn w:val="DefaultParagraphFont"/>
    <w:link w:val="ScheduleL7"/>
    <w:rPr>
      <w:rFonts w:eastAsia="Times New Roman" w:cs="Times New Roman"/>
      <w:szCs w:val="20"/>
    </w:rPr>
  </w:style>
  <w:style w:type="paragraph" w:customStyle="1" w:styleId="ScheduleL8">
    <w:name w:val="Schedule_L8"/>
    <w:basedOn w:val="ScheduleL7"/>
    <w:link w:val="ScheduleL8Char"/>
    <w:pPr>
      <w:numPr>
        <w:ilvl w:val="7"/>
      </w:numPr>
      <w:outlineLvl w:val="7"/>
    </w:pPr>
  </w:style>
  <w:style w:type="character" w:customStyle="1" w:styleId="ScheduleL8Char">
    <w:name w:val="Schedule_L8 Char"/>
    <w:basedOn w:val="DefaultParagraphFont"/>
    <w:link w:val="ScheduleL8"/>
    <w:rPr>
      <w:rFonts w:eastAsia="Times New Roman" w:cs="Times New Roman"/>
      <w:szCs w:val="20"/>
    </w:rPr>
  </w:style>
  <w:style w:type="paragraph" w:customStyle="1" w:styleId="ScheduleL9">
    <w:name w:val="Schedule_L9"/>
    <w:basedOn w:val="ScheduleL8"/>
    <w:link w:val="ScheduleL9Char"/>
    <w:pPr>
      <w:numPr>
        <w:ilvl w:val="8"/>
      </w:numPr>
      <w:outlineLvl w:val="8"/>
    </w:pPr>
  </w:style>
  <w:style w:type="character" w:customStyle="1" w:styleId="ScheduleL9Char">
    <w:name w:val="Schedule_L9 Char"/>
    <w:basedOn w:val="DefaultParagraphFont"/>
    <w:link w:val="ScheduleL9"/>
    <w:rPr>
      <w:rFonts w:eastAsia="Times New Roman" w:cs="Times New Roman"/>
      <w:szCs w:val="20"/>
    </w:rPr>
  </w:style>
  <w:style w:type="paragraph" w:customStyle="1" w:styleId="ExhibitCont1">
    <w:name w:val="Exhibit Cont 1"/>
    <w:basedOn w:val="Normal"/>
    <w:link w:val="ExhibitCont1Char"/>
    <w:pPr>
      <w:spacing w:after="240"/>
      <w:ind w:left="720"/>
    </w:pPr>
    <w:rPr>
      <w:rFonts w:eastAsia="Times New Roman" w:cs="Times New Roman"/>
      <w:szCs w:val="20"/>
    </w:rPr>
  </w:style>
  <w:style w:type="character" w:customStyle="1" w:styleId="ExhibitCont1Char">
    <w:name w:val="Exhibit Cont 1 Char"/>
    <w:basedOn w:val="DefaultParagraphFont"/>
    <w:link w:val="ExhibitCont1"/>
    <w:rPr>
      <w:rFonts w:eastAsia="Times New Roman" w:cs="Times New Roman"/>
      <w:szCs w:val="20"/>
    </w:rPr>
  </w:style>
  <w:style w:type="paragraph" w:customStyle="1" w:styleId="ExhibitCont2">
    <w:name w:val="Exhibit Cont 2"/>
    <w:basedOn w:val="ExhibitCont1"/>
    <w:link w:val="ExhibitCont2Char"/>
    <w:pPr>
      <w:ind w:left="1440"/>
    </w:pPr>
  </w:style>
  <w:style w:type="character" w:customStyle="1" w:styleId="ExhibitCont2Char">
    <w:name w:val="Exhibit Cont 2 Char"/>
    <w:basedOn w:val="DefaultParagraphFont"/>
    <w:link w:val="ExhibitCont2"/>
    <w:rPr>
      <w:rFonts w:eastAsia="Times New Roman" w:cs="Times New Roman"/>
      <w:szCs w:val="20"/>
    </w:rPr>
  </w:style>
  <w:style w:type="paragraph" w:customStyle="1" w:styleId="ExhibitCont3">
    <w:name w:val="Exhibit Cont 3"/>
    <w:basedOn w:val="ExhibitCont2"/>
    <w:link w:val="ExhibitCont3Char"/>
    <w:pPr>
      <w:ind w:left="2160"/>
    </w:pPr>
  </w:style>
  <w:style w:type="character" w:customStyle="1" w:styleId="ExhibitCont3Char">
    <w:name w:val="Exhibit Cont 3 Char"/>
    <w:basedOn w:val="DefaultParagraphFont"/>
    <w:link w:val="ExhibitCont3"/>
    <w:rPr>
      <w:rFonts w:eastAsia="Times New Roman" w:cs="Times New Roman"/>
      <w:szCs w:val="20"/>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DefaultParagraphFont"/>
    <w:link w:val="ExhibitCont4"/>
    <w:rPr>
      <w:rFonts w:eastAsia="Times New Roman" w:cs="Times New Roman"/>
      <w:szCs w:val="20"/>
    </w:rPr>
  </w:style>
  <w:style w:type="paragraph" w:customStyle="1" w:styleId="ExhibitCont5">
    <w:name w:val="Exhibit Cont 5"/>
    <w:basedOn w:val="ExhibitCont4"/>
    <w:link w:val="ExhibitCont5Char"/>
    <w:pPr>
      <w:ind w:left="3600"/>
    </w:pPr>
  </w:style>
  <w:style w:type="character" w:customStyle="1" w:styleId="ExhibitCont5Char">
    <w:name w:val="Exhibit Cont 5 Char"/>
    <w:basedOn w:val="DefaultParagraphFont"/>
    <w:link w:val="ExhibitCont5"/>
    <w:rPr>
      <w:rFonts w:eastAsia="Times New Roman" w:cs="Times New Roman"/>
      <w:szCs w:val="20"/>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DefaultParagraphFont"/>
    <w:link w:val="ExhibitCont6"/>
    <w:rPr>
      <w:rFonts w:eastAsia="Times New Roman" w:cs="Times New Roman"/>
      <w:szCs w:val="20"/>
    </w:rPr>
  </w:style>
  <w:style w:type="paragraph" w:customStyle="1" w:styleId="ExhibitCont7">
    <w:name w:val="Exhibit Cont 7"/>
    <w:basedOn w:val="ExhibitCont6"/>
    <w:link w:val="ExhibitCont7Char"/>
    <w:pPr>
      <w:ind w:left="5040"/>
    </w:pPr>
  </w:style>
  <w:style w:type="character" w:customStyle="1" w:styleId="ExhibitCont7Char">
    <w:name w:val="Exhibit Cont 7 Char"/>
    <w:basedOn w:val="DefaultParagraphFont"/>
    <w:link w:val="ExhibitCont7"/>
    <w:rPr>
      <w:rFonts w:eastAsia="Times New Roman" w:cs="Times New Roman"/>
      <w:szCs w:val="20"/>
    </w:rPr>
  </w:style>
  <w:style w:type="paragraph" w:customStyle="1" w:styleId="ExhibitCont8">
    <w:name w:val="Exhibit Cont 8"/>
    <w:basedOn w:val="ExhibitCont7"/>
    <w:link w:val="ExhibitCont8Char"/>
    <w:pPr>
      <w:ind w:left="5760"/>
    </w:pPr>
  </w:style>
  <w:style w:type="character" w:customStyle="1" w:styleId="ExhibitCont8Char">
    <w:name w:val="Exhibit Cont 8 Char"/>
    <w:basedOn w:val="DefaultParagraphFont"/>
    <w:link w:val="ExhibitCont8"/>
    <w:rPr>
      <w:rFonts w:eastAsia="Times New Roman" w:cs="Times New Roman"/>
      <w:szCs w:val="20"/>
    </w:rPr>
  </w:style>
  <w:style w:type="paragraph" w:customStyle="1" w:styleId="ExhibitCont9">
    <w:name w:val="Exhibit Cont 9"/>
    <w:basedOn w:val="ExhibitCont8"/>
    <w:link w:val="ExhibitCont9Char"/>
    <w:pPr>
      <w:ind w:left="6480"/>
    </w:pPr>
  </w:style>
  <w:style w:type="character" w:customStyle="1" w:styleId="ExhibitCont9Char">
    <w:name w:val="Exhibit Cont 9 Char"/>
    <w:basedOn w:val="DefaultParagraphFont"/>
    <w:link w:val="ExhibitCont9"/>
    <w:rPr>
      <w:rFonts w:eastAsia="Times New Roman" w:cs="Times New Roman"/>
      <w:szCs w:val="20"/>
    </w:rPr>
  </w:style>
  <w:style w:type="paragraph" w:customStyle="1" w:styleId="ExhibitL1">
    <w:name w:val="Exhibit_L1"/>
    <w:basedOn w:val="Normal"/>
    <w:link w:val="ExhibitL1Char"/>
    <w:pPr>
      <w:numPr>
        <w:numId w:val="7"/>
      </w:numPr>
      <w:spacing w:after="360"/>
      <w:jc w:val="center"/>
      <w:outlineLvl w:val="0"/>
    </w:pPr>
    <w:rPr>
      <w:rFonts w:eastAsia="Times New Roman" w:cs="Times New Roman"/>
      <w:b/>
      <w:caps/>
      <w:szCs w:val="20"/>
    </w:rPr>
  </w:style>
  <w:style w:type="character" w:customStyle="1" w:styleId="ExhibitL1Char">
    <w:name w:val="Exhibit_L1 Char"/>
    <w:basedOn w:val="DefaultParagraphFont"/>
    <w:link w:val="ExhibitL1"/>
    <w:rPr>
      <w:rFonts w:eastAsia="Times New Roman" w:cs="Times New Roman"/>
      <w:b/>
      <w:caps/>
      <w:szCs w:val="20"/>
    </w:rPr>
  </w:style>
  <w:style w:type="paragraph" w:customStyle="1" w:styleId="ExhibitL2">
    <w:name w:val="Exhibit_L2"/>
    <w:basedOn w:val="ExhibitL1"/>
    <w:link w:val="ExhibitL2Char"/>
    <w:pPr>
      <w:numPr>
        <w:ilvl w:val="1"/>
      </w:numPr>
      <w:spacing w:after="240"/>
      <w:jc w:val="both"/>
      <w:outlineLvl w:val="1"/>
    </w:pPr>
    <w:rPr>
      <w:b w:val="0"/>
      <w:caps w:val="0"/>
    </w:rPr>
  </w:style>
  <w:style w:type="character" w:customStyle="1" w:styleId="ExhibitL2Char">
    <w:name w:val="Exhibit_L2 Char"/>
    <w:basedOn w:val="DefaultParagraphFont"/>
    <w:link w:val="ExhibitL2"/>
    <w:rPr>
      <w:rFonts w:eastAsia="Times New Roman" w:cs="Times New Roman"/>
      <w:szCs w:val="20"/>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basedOn w:val="DefaultParagraphFont"/>
    <w:link w:val="ExhibitL3"/>
    <w:rPr>
      <w:rFonts w:eastAsia="Times New Roman" w:cs="Times New Roman"/>
      <w:szCs w:val="20"/>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rFonts w:eastAsia="Times New Roman" w:cs="Times New Roman"/>
      <w:szCs w:val="20"/>
    </w:rPr>
  </w:style>
  <w:style w:type="paragraph" w:customStyle="1" w:styleId="ExhibitL5">
    <w:name w:val="Exhibit_L5"/>
    <w:basedOn w:val="ExhibitL4"/>
    <w:link w:val="ExhibitL5Char"/>
    <w:pPr>
      <w:numPr>
        <w:ilvl w:val="4"/>
      </w:numPr>
      <w:outlineLvl w:val="4"/>
    </w:pPr>
  </w:style>
  <w:style w:type="character" w:customStyle="1" w:styleId="ExhibitL5Char">
    <w:name w:val="Exhibit_L5 Char"/>
    <w:basedOn w:val="DefaultParagraphFont"/>
    <w:link w:val="ExhibitL5"/>
    <w:rPr>
      <w:rFonts w:eastAsia="Times New Roman" w:cs="Times New Roman"/>
      <w:szCs w:val="20"/>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rFonts w:eastAsia="Times New Roman" w:cs="Times New Roman"/>
      <w:szCs w:val="20"/>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rFonts w:eastAsia="Times New Roman" w:cs="Times New Roman"/>
      <w:szCs w:val="20"/>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rFonts w:eastAsia="Times New Roman" w:cs="Times New Roman"/>
      <w:szCs w:val="20"/>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rFonts w:eastAsia="Times New Roman" w:cs="Times New Roman"/>
      <w:szCs w:val="20"/>
    </w:rPr>
  </w:style>
  <w:style w:type="paragraph" w:customStyle="1" w:styleId="BodyTextBold">
    <w:name w:val="Body Text Bold"/>
    <w:basedOn w:val="Normal"/>
    <w:rsid w:val="00BD58B1"/>
    <w:pPr>
      <w:spacing w:after="240"/>
      <w:jc w:val="left"/>
    </w:pPr>
    <w:rPr>
      <w:rFonts w:ascii="Times New Roman Bold" w:hAnsi="Times New Roman Bold"/>
      <w:b/>
      <w:bCs/>
    </w:rPr>
  </w:style>
  <w:style w:type="character" w:styleId="UnresolvedMention">
    <w:name w:val="Unresolved Mention"/>
    <w:basedOn w:val="DefaultParagraphFont"/>
    <w:uiPriority w:val="99"/>
    <w:semiHidden/>
    <w:unhideWhenUsed/>
    <w:rsid w:val="00F335FA"/>
    <w:rPr>
      <w:color w:val="605E5C"/>
      <w:shd w:val="clear" w:color="auto" w:fill="E1DFDD"/>
    </w:rPr>
  </w:style>
  <w:style w:type="character" w:styleId="CommentReference">
    <w:name w:val="annotation reference"/>
    <w:basedOn w:val="DefaultParagraphFont"/>
    <w:uiPriority w:val="99"/>
    <w:semiHidden/>
    <w:unhideWhenUsed/>
    <w:rsid w:val="00805517"/>
    <w:rPr>
      <w:sz w:val="16"/>
      <w:szCs w:val="16"/>
    </w:rPr>
  </w:style>
  <w:style w:type="paragraph" w:styleId="CommentText">
    <w:name w:val="annotation text"/>
    <w:basedOn w:val="Normal"/>
    <w:link w:val="CommentTextChar"/>
    <w:uiPriority w:val="99"/>
    <w:unhideWhenUsed/>
    <w:rsid w:val="00805517"/>
    <w:rPr>
      <w:sz w:val="20"/>
      <w:szCs w:val="20"/>
    </w:rPr>
  </w:style>
  <w:style w:type="character" w:customStyle="1" w:styleId="CommentTextChar">
    <w:name w:val="Comment Text Char"/>
    <w:basedOn w:val="DefaultParagraphFont"/>
    <w:link w:val="CommentText"/>
    <w:uiPriority w:val="99"/>
    <w:rsid w:val="00805517"/>
    <w:rPr>
      <w:sz w:val="20"/>
      <w:szCs w:val="20"/>
    </w:rPr>
  </w:style>
  <w:style w:type="paragraph" w:styleId="CommentSubject">
    <w:name w:val="annotation subject"/>
    <w:basedOn w:val="CommentText"/>
    <w:next w:val="CommentText"/>
    <w:link w:val="CommentSubjectChar"/>
    <w:uiPriority w:val="99"/>
    <w:semiHidden/>
    <w:unhideWhenUsed/>
    <w:rsid w:val="00805517"/>
    <w:rPr>
      <w:b/>
      <w:bCs/>
    </w:rPr>
  </w:style>
  <w:style w:type="character" w:customStyle="1" w:styleId="CommentSubjectChar">
    <w:name w:val="Comment Subject Char"/>
    <w:basedOn w:val="CommentTextChar"/>
    <w:link w:val="CommentSubject"/>
    <w:uiPriority w:val="99"/>
    <w:semiHidden/>
    <w:rsid w:val="00805517"/>
    <w:rPr>
      <w:b/>
      <w:bCs/>
      <w:sz w:val="20"/>
      <w:szCs w:val="20"/>
    </w:rPr>
  </w:style>
  <w:style w:type="paragraph" w:styleId="Revision">
    <w:name w:val="Revision"/>
    <w:hidden/>
    <w:uiPriority w:val="99"/>
    <w:semiHidden/>
    <w:rsid w:val="000701A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vandenberg@osler.co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EAAD-83E2-4024-ACDA-ADE92410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23333</Words>
  <Characters>133003</Characters>
  <Application>Microsoft Office Word</Application>
  <DocSecurity>0</DocSecurity>
  <Lines>1108</Lines>
  <Paragraphs>312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Crepeau, Julie</dc:creator>
  <cp:lastModifiedBy>Cathy Ayow</cp:lastModifiedBy>
  <cp:revision>2</cp:revision>
  <cp:lastPrinted>2023-12-14T17:20:00Z</cp:lastPrinted>
  <dcterms:created xsi:type="dcterms:W3CDTF">2024-01-03T16:26:00Z</dcterms:created>
  <dcterms:modified xsi:type="dcterms:W3CDTF">2024-01-03T16:26:00Z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